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1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2B3C" w:rsidRDefault="00AD2B3C" w:rsidP="00AD2B3C">
      <w:pPr>
        <w:pStyle w:val="Encabezado"/>
        <w:rPr>
          <w:b/>
          <w:sz w:val="14"/>
        </w:rPr>
      </w:pPr>
    </w:p>
    <w:p w:rsidR="00AD2B3C" w:rsidRDefault="00AD2B3C" w:rsidP="00AD2B3C">
      <w:pPr>
        <w:pStyle w:val="Encabezado"/>
      </w:pPr>
    </w:p>
    <w:p w:rsidR="00AD2B3C" w:rsidRDefault="00AD2B3C" w:rsidP="00AD2B3C">
      <w:pPr>
        <w:pStyle w:val="Encabezado"/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21424997" wp14:editId="070DE8FF">
            <wp:simplePos x="0" y="0"/>
            <wp:positionH relativeFrom="column">
              <wp:posOffset>5419090</wp:posOffset>
            </wp:positionH>
            <wp:positionV relativeFrom="paragraph">
              <wp:posOffset>-407035</wp:posOffset>
            </wp:positionV>
            <wp:extent cx="895350" cy="819150"/>
            <wp:effectExtent l="19050" t="0" r="0" b="0"/>
            <wp:wrapNone/>
            <wp:docPr id="25" name="Imagen 6" descr="C:\Users\omodesto\Desktop\Logos\premioCalidad\premioCalidad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modesto\Desktop\Logos\premioCalidad\premioCalidad-PNG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61312" behindDoc="0" locked="0" layoutInCell="1" allowOverlap="1" wp14:anchorId="3BB02886" wp14:editId="700F64C2">
            <wp:simplePos x="0" y="0"/>
            <wp:positionH relativeFrom="column">
              <wp:posOffset>2399665</wp:posOffset>
            </wp:positionH>
            <wp:positionV relativeFrom="paragraph">
              <wp:posOffset>-537210</wp:posOffset>
            </wp:positionV>
            <wp:extent cx="825500" cy="831850"/>
            <wp:effectExtent l="19050" t="0" r="0" b="0"/>
            <wp:wrapThrough wrapText="bothSides">
              <wp:wrapPolygon edited="0">
                <wp:start x="-498" y="989"/>
                <wp:lineTo x="-498" y="19786"/>
                <wp:lineTo x="21434" y="19786"/>
                <wp:lineTo x="21434" y="989"/>
                <wp:lineTo x="-498" y="989"/>
              </wp:wrapPolygon>
            </wp:wrapThrough>
            <wp:docPr id="26" name="10 Imagen" descr="pediatricoICON-f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diatricoICON-f.em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83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60288" behindDoc="1" locked="0" layoutInCell="1" allowOverlap="1" wp14:anchorId="19995CA4" wp14:editId="2B83C44A">
            <wp:simplePos x="0" y="0"/>
            <wp:positionH relativeFrom="column">
              <wp:posOffset>-845185</wp:posOffset>
            </wp:positionH>
            <wp:positionV relativeFrom="paragraph">
              <wp:posOffset>-353060</wp:posOffset>
            </wp:positionV>
            <wp:extent cx="996950" cy="336550"/>
            <wp:effectExtent l="19050" t="0" r="0" b="0"/>
            <wp:wrapNone/>
            <wp:docPr id="27" name="Imagen 3" descr="C:\Users\omodesto\Desktop\Logos\SNS\logoSNS-new-f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modesto\Desktop\Logos\SNS\logoSNS-new-f.em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0" cy="33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62336" behindDoc="1" locked="0" layoutInCell="1" allowOverlap="1" wp14:anchorId="790E1402" wp14:editId="2C229BB8">
            <wp:simplePos x="0" y="0"/>
            <wp:positionH relativeFrom="column">
              <wp:posOffset>-191135</wp:posOffset>
            </wp:positionH>
            <wp:positionV relativeFrom="paragraph">
              <wp:posOffset>-187960</wp:posOffset>
            </wp:positionV>
            <wp:extent cx="1098550" cy="552450"/>
            <wp:effectExtent l="0" t="0" r="0" b="0"/>
            <wp:wrapNone/>
            <wp:docPr id="28" name="Imagen 4" descr="C:\Users\omodesto\Desktop\Logos\SRSM\logo-srsm-vect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modesto\Desktop\Logos\SRSM\logo-srsm-vect.em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2B3C" w:rsidRPr="009B6EB0" w:rsidRDefault="00AD2B3C" w:rsidP="00AD2B3C">
      <w:pPr>
        <w:pStyle w:val="Encabezado"/>
        <w:jc w:val="center"/>
        <w:rPr>
          <w:b/>
          <w:sz w:val="10"/>
        </w:rPr>
      </w:pPr>
    </w:p>
    <w:p w:rsidR="00AD2B3C" w:rsidRPr="009B6EB0" w:rsidRDefault="00AD2B3C" w:rsidP="00AD2B3C">
      <w:pPr>
        <w:pStyle w:val="Encabezado"/>
        <w:jc w:val="center"/>
        <w:rPr>
          <w:b/>
          <w:sz w:val="14"/>
        </w:rPr>
      </w:pPr>
      <w:r w:rsidRPr="009B6EB0">
        <w:rPr>
          <w:b/>
          <w:sz w:val="14"/>
        </w:rPr>
        <w:t>RNC. 430195097</w:t>
      </w:r>
    </w:p>
    <w:p w:rsidR="00AD2B3C" w:rsidRPr="009B6EB0" w:rsidRDefault="00AD2B3C" w:rsidP="00AD2B3C">
      <w:pPr>
        <w:pStyle w:val="Encabezado"/>
        <w:jc w:val="center"/>
        <w:rPr>
          <w:b/>
          <w:sz w:val="2"/>
        </w:rPr>
      </w:pPr>
    </w:p>
    <w:p w:rsidR="00AD2B3C" w:rsidRPr="009B6EB0" w:rsidRDefault="00AD2B3C" w:rsidP="00AD2B3C">
      <w:pPr>
        <w:pStyle w:val="Encabezado"/>
        <w:spacing w:line="216" w:lineRule="auto"/>
        <w:jc w:val="center"/>
        <w:rPr>
          <w:b/>
          <w:sz w:val="18"/>
        </w:rPr>
      </w:pPr>
      <w:r w:rsidRPr="009B6EB0">
        <w:rPr>
          <w:b/>
          <w:sz w:val="18"/>
        </w:rPr>
        <w:t>República Dominicana</w:t>
      </w:r>
    </w:p>
    <w:p w:rsidR="00AD2B3C" w:rsidRPr="009B6EB0" w:rsidRDefault="00AD2B3C" w:rsidP="00AD2B3C">
      <w:pPr>
        <w:pStyle w:val="Encabezado"/>
        <w:spacing w:line="216" w:lineRule="auto"/>
        <w:jc w:val="center"/>
        <w:rPr>
          <w:rFonts w:ascii="Calibri" w:hAnsi="Calibri"/>
          <w:b/>
          <w:sz w:val="18"/>
        </w:rPr>
      </w:pPr>
      <w:r w:rsidRPr="009B6EB0">
        <w:rPr>
          <w:rFonts w:ascii="Calibri" w:hAnsi="Calibri"/>
          <w:b/>
          <w:sz w:val="18"/>
        </w:rPr>
        <w:t>SERVICIO NACIONAL DE SALUD</w:t>
      </w:r>
    </w:p>
    <w:p w:rsidR="00AD2B3C" w:rsidRPr="009B6EB0" w:rsidRDefault="00AD2B3C" w:rsidP="00AD2B3C">
      <w:pPr>
        <w:pStyle w:val="Encabezado"/>
        <w:spacing w:line="216" w:lineRule="auto"/>
        <w:jc w:val="center"/>
        <w:rPr>
          <w:rFonts w:ascii="Calibri" w:hAnsi="Calibri"/>
          <w:b/>
          <w:sz w:val="18"/>
        </w:rPr>
      </w:pPr>
      <w:r w:rsidRPr="009B6EB0">
        <w:rPr>
          <w:rFonts w:ascii="Calibri" w:hAnsi="Calibri"/>
          <w:b/>
          <w:sz w:val="18"/>
        </w:rPr>
        <w:t>SERVICIO REGIONAL DE SALUD METROPOLITANO</w:t>
      </w:r>
    </w:p>
    <w:p w:rsidR="00AD2B3C" w:rsidRPr="009B6EB0" w:rsidRDefault="00AD2B3C" w:rsidP="00AD2B3C">
      <w:pPr>
        <w:pStyle w:val="Encabezado"/>
        <w:spacing w:line="216" w:lineRule="auto"/>
        <w:jc w:val="center"/>
        <w:rPr>
          <w:rFonts w:ascii="Calibri" w:hAnsi="Calibri"/>
          <w:b/>
          <w:sz w:val="24"/>
        </w:rPr>
      </w:pPr>
      <w:r w:rsidRPr="009B6EB0">
        <w:rPr>
          <w:rFonts w:ascii="Calibri" w:hAnsi="Calibri"/>
          <w:b/>
          <w:sz w:val="24"/>
        </w:rPr>
        <w:t>HOSPITAL PEDIÁTRICO DR. HUGO MENDOZA</w:t>
      </w:r>
    </w:p>
    <w:p w:rsidR="00AD2B3C" w:rsidRPr="009B6EB0" w:rsidRDefault="00AD2B3C" w:rsidP="00AD2B3C">
      <w:pPr>
        <w:pStyle w:val="Encabezado"/>
        <w:spacing w:line="216" w:lineRule="auto"/>
        <w:rPr>
          <w:b/>
          <w:sz w:val="12"/>
        </w:rPr>
      </w:pPr>
    </w:p>
    <w:p w:rsidR="00AD2B3C" w:rsidRPr="00C6600E" w:rsidRDefault="00AD2B3C" w:rsidP="00AD2B3C">
      <w:pPr>
        <w:pStyle w:val="Encabezado"/>
        <w:jc w:val="center"/>
        <w:rPr>
          <w:b/>
          <w:i/>
        </w:rPr>
      </w:pPr>
      <w:r w:rsidRPr="00C6600E">
        <w:rPr>
          <w:b/>
          <w:i/>
        </w:rPr>
        <w:t>“Año del Fomento a las Exportaciones”</w:t>
      </w:r>
    </w:p>
    <w:p w:rsidR="00AD2B3C" w:rsidRDefault="00AD2B3C" w:rsidP="00AD2B3C">
      <w:pPr>
        <w:spacing w:after="0"/>
        <w:rPr>
          <w:rFonts w:ascii="Arial" w:eastAsia="PMingLiU" w:hAnsi="Arial" w:cs="Arial"/>
          <w:b/>
          <w:sz w:val="24"/>
          <w:szCs w:val="20"/>
          <w:lang w:eastAsia="zh-TW"/>
        </w:rPr>
      </w:pPr>
    </w:p>
    <w:p w:rsidR="00BF519B" w:rsidRDefault="00591D6F" w:rsidP="00AD2B3C">
      <w:pPr>
        <w:spacing w:after="0"/>
        <w:ind w:left="360"/>
        <w:jc w:val="center"/>
        <w:rPr>
          <w:rFonts w:ascii="Arial" w:eastAsia="PMingLiU" w:hAnsi="Arial" w:cs="Arial"/>
          <w:b/>
          <w:lang w:eastAsia="zh-TW"/>
        </w:rPr>
      </w:pPr>
      <w:r w:rsidRPr="00AD2B3C">
        <w:rPr>
          <w:rFonts w:ascii="Arial" w:eastAsia="PMingLiU" w:hAnsi="Arial" w:cs="Arial"/>
          <w:b/>
          <w:lang w:eastAsia="zh-TW"/>
        </w:rPr>
        <w:t xml:space="preserve">Informe indicadores POA abril- </w:t>
      </w:r>
      <w:r w:rsidR="00CB3A74">
        <w:rPr>
          <w:rFonts w:ascii="Arial" w:eastAsia="PMingLiU" w:hAnsi="Arial" w:cs="Arial"/>
          <w:b/>
          <w:lang w:eastAsia="zh-TW"/>
        </w:rPr>
        <w:t>junio</w:t>
      </w:r>
      <w:r w:rsidRPr="00AD2B3C">
        <w:rPr>
          <w:rFonts w:ascii="Arial" w:eastAsia="PMingLiU" w:hAnsi="Arial" w:cs="Arial"/>
          <w:b/>
          <w:lang w:eastAsia="zh-TW"/>
        </w:rPr>
        <w:t xml:space="preserve"> 2018 </w:t>
      </w:r>
    </w:p>
    <w:p w:rsidR="00C12765" w:rsidRPr="00AD2B3C" w:rsidRDefault="00C12765" w:rsidP="00AD2B3C">
      <w:pPr>
        <w:spacing w:after="0"/>
        <w:ind w:left="360"/>
        <w:jc w:val="center"/>
        <w:rPr>
          <w:rFonts w:ascii="Arial" w:eastAsia="PMingLiU" w:hAnsi="Arial" w:cs="Arial"/>
          <w:b/>
          <w:lang w:eastAsia="zh-TW"/>
        </w:rPr>
      </w:pPr>
    </w:p>
    <w:p w:rsidR="00562AB0" w:rsidRDefault="00A459F1" w:rsidP="00C12765">
      <w:pPr>
        <w:spacing w:after="0"/>
        <w:jc w:val="both"/>
        <w:rPr>
          <w:rFonts w:ascii="Arial" w:eastAsia="PMingLiU" w:hAnsi="Arial" w:cs="Arial"/>
          <w:lang w:eastAsia="zh-TW"/>
        </w:rPr>
      </w:pPr>
      <w:r>
        <w:rPr>
          <w:rFonts w:ascii="Arial" w:eastAsia="PMingLiU" w:hAnsi="Arial" w:cs="Arial"/>
          <w:lang w:eastAsia="zh-TW"/>
        </w:rPr>
        <w:t>Este presente informe tiene como objetivo evidenciar el comportamiento de los indicadores del Plan Operativo Anual 2018 de las distintas gerencias y subdirecciones en los meses abril</w:t>
      </w:r>
      <w:r w:rsidR="009523CC">
        <w:rPr>
          <w:rFonts w:ascii="Arial" w:eastAsia="PMingLiU" w:hAnsi="Arial" w:cs="Arial"/>
          <w:lang w:eastAsia="zh-TW"/>
        </w:rPr>
        <w:t xml:space="preserve">, </w:t>
      </w:r>
      <w:r>
        <w:rPr>
          <w:rFonts w:ascii="Arial" w:eastAsia="PMingLiU" w:hAnsi="Arial" w:cs="Arial"/>
          <w:lang w:eastAsia="zh-TW"/>
        </w:rPr>
        <w:t xml:space="preserve">mayo </w:t>
      </w:r>
      <w:r w:rsidR="009523CC">
        <w:rPr>
          <w:rFonts w:ascii="Arial" w:eastAsia="PMingLiU" w:hAnsi="Arial" w:cs="Arial"/>
          <w:lang w:eastAsia="zh-TW"/>
        </w:rPr>
        <w:t xml:space="preserve">y junio </w:t>
      </w:r>
      <w:r>
        <w:rPr>
          <w:rFonts w:ascii="Arial" w:eastAsia="PMingLiU" w:hAnsi="Arial" w:cs="Arial"/>
          <w:lang w:eastAsia="zh-TW"/>
        </w:rPr>
        <w:t xml:space="preserve">del presente año. </w:t>
      </w:r>
    </w:p>
    <w:p w:rsidR="00A459F1" w:rsidRPr="00A459F1" w:rsidRDefault="00A459F1" w:rsidP="00C12765">
      <w:pPr>
        <w:spacing w:after="0"/>
        <w:jc w:val="both"/>
        <w:rPr>
          <w:rFonts w:ascii="Arial" w:eastAsia="PMingLiU" w:hAnsi="Arial" w:cs="Arial"/>
          <w:lang w:eastAsia="zh-TW"/>
        </w:rPr>
      </w:pPr>
    </w:p>
    <w:p w:rsidR="00AD2B3C" w:rsidRPr="00AD2B3C" w:rsidRDefault="00591D6F" w:rsidP="00C12765">
      <w:pPr>
        <w:jc w:val="both"/>
        <w:rPr>
          <w:rFonts w:ascii="Arial" w:hAnsi="Arial" w:cs="Arial"/>
          <w:b/>
          <w:u w:val="single"/>
        </w:rPr>
      </w:pPr>
      <w:r w:rsidRPr="00AD2B3C">
        <w:rPr>
          <w:rFonts w:ascii="Arial" w:hAnsi="Arial" w:cs="Arial"/>
          <w:b/>
          <w:u w:val="single"/>
        </w:rPr>
        <w:t xml:space="preserve">Subdirección de Recursos Humanos. </w:t>
      </w:r>
    </w:p>
    <w:p w:rsidR="00591D6F" w:rsidRPr="00AD2B3C" w:rsidRDefault="00591D6F" w:rsidP="00C127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</w:rPr>
        <w:t xml:space="preserve">Nómina </w:t>
      </w:r>
    </w:p>
    <w:p w:rsidR="00325A70" w:rsidRPr="00AD2B3C" w:rsidRDefault="00FC0C75" w:rsidP="00C12765">
      <w:pPr>
        <w:jc w:val="center"/>
        <w:rPr>
          <w:rFonts w:ascii="Arial" w:hAnsi="Arial" w:cs="Arial"/>
          <w:b/>
        </w:rPr>
      </w:pPr>
      <w:bookmarkStart w:id="0" w:name="_GoBack"/>
      <w:r>
        <w:rPr>
          <w:noProof/>
        </w:rPr>
        <w:drawing>
          <wp:inline distT="0" distB="0" distL="0" distR="0" wp14:anchorId="70C4140E" wp14:editId="2D423F65">
            <wp:extent cx="4505325" cy="2305050"/>
            <wp:effectExtent l="0" t="0" r="0" b="0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CBBE3FB7-0C78-4C06-AF60-F3CDD7CB515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bookmarkEnd w:id="0"/>
    <w:p w:rsidR="00325A70" w:rsidRDefault="00325A70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>Durante el trimestre de abril-junio</w:t>
      </w:r>
      <w:r w:rsidR="00AD2B3C" w:rsidRPr="00AD2B3C">
        <w:rPr>
          <w:rFonts w:ascii="Arial" w:hAnsi="Arial" w:cs="Arial"/>
        </w:rPr>
        <w:t xml:space="preserve">, </w:t>
      </w:r>
      <w:r w:rsidRPr="00AD2B3C">
        <w:rPr>
          <w:rFonts w:ascii="Arial" w:hAnsi="Arial" w:cs="Arial"/>
        </w:rPr>
        <w:t>los archivos correspondientes a enviarse al SIGEF fueron debidamente cargados en su totalidad. Del mismo modo, la nomina estuvo lista y fue cargada al SIGEF antes del día 13 de</w:t>
      </w:r>
      <w:r w:rsidR="00AD2B3C" w:rsidRPr="00AD2B3C">
        <w:rPr>
          <w:rFonts w:ascii="Arial" w:hAnsi="Arial" w:cs="Arial"/>
        </w:rPr>
        <w:t xml:space="preserve"> los meses correspondientes. </w:t>
      </w:r>
    </w:p>
    <w:p w:rsidR="00C12765" w:rsidRPr="00C12765" w:rsidRDefault="00325A70" w:rsidP="00C127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</w:rPr>
        <w:t>Compensación y Beneficio</w:t>
      </w:r>
    </w:p>
    <w:p w:rsidR="00325A70" w:rsidRPr="00AD2B3C" w:rsidRDefault="00E64388" w:rsidP="00C12765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1C7F69D2" wp14:editId="522BA998">
            <wp:extent cx="4324350" cy="1762125"/>
            <wp:effectExtent l="0" t="0" r="0" b="9525"/>
            <wp:docPr id="4" name="Gráfico 4">
              <a:extLst xmlns:a="http://schemas.openxmlformats.org/drawingml/2006/main">
                <a:ext uri="{FF2B5EF4-FFF2-40B4-BE49-F238E27FC236}">
                  <a16:creationId xmlns:a16="http://schemas.microsoft.com/office/drawing/2014/main" id="{EAE960A4-C4BF-4800-AB5D-7DE1E7398BD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325A70" w:rsidRDefault="00152F49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lastRenderedPageBreak/>
        <w:t xml:space="preserve">En el </w:t>
      </w:r>
      <w:r w:rsidR="005E7B95" w:rsidRPr="00AD2B3C">
        <w:rPr>
          <w:rFonts w:ascii="Arial" w:hAnsi="Arial" w:cs="Arial"/>
        </w:rPr>
        <w:t>mes de abril</w:t>
      </w:r>
      <w:r w:rsidR="00FF74FE">
        <w:rPr>
          <w:rFonts w:ascii="Arial" w:hAnsi="Arial" w:cs="Arial"/>
        </w:rPr>
        <w:t>, en el área de compensación y beneficio,</w:t>
      </w:r>
      <w:r w:rsidRPr="00AD2B3C">
        <w:rPr>
          <w:rFonts w:ascii="Arial" w:hAnsi="Arial" w:cs="Arial"/>
        </w:rPr>
        <w:t xml:space="preserve"> el 100% de las solicitudes fueron tramitadas en el tiempo y por las vías correspondientes. Del total recibidas</w:t>
      </w:r>
      <w:r w:rsidR="005E7B95" w:rsidRPr="00AD2B3C">
        <w:rPr>
          <w:rFonts w:ascii="Arial" w:hAnsi="Arial" w:cs="Arial"/>
        </w:rPr>
        <w:t xml:space="preserve">, </w:t>
      </w:r>
      <w:r w:rsidRPr="00AD2B3C">
        <w:rPr>
          <w:rFonts w:ascii="Arial" w:hAnsi="Arial" w:cs="Arial"/>
        </w:rPr>
        <w:t>el</w:t>
      </w:r>
      <w:r w:rsidR="00CF2609" w:rsidRPr="00AD2B3C">
        <w:rPr>
          <w:rFonts w:ascii="Arial" w:hAnsi="Arial" w:cs="Arial"/>
        </w:rPr>
        <w:t xml:space="preserve"> 40% corresponde a </w:t>
      </w:r>
      <w:r w:rsidR="00104FF3" w:rsidRPr="00AD2B3C">
        <w:rPr>
          <w:rFonts w:ascii="Arial" w:hAnsi="Arial" w:cs="Arial"/>
        </w:rPr>
        <w:t xml:space="preserve">subsidio por maternidad, el 30% a enfermedades común y el restante a prestaciones laborales. </w:t>
      </w:r>
    </w:p>
    <w:p w:rsidR="00E64388" w:rsidRPr="00AD2B3C" w:rsidRDefault="00C52670" w:rsidP="00E6438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el mes de mayo, del mismo modo las solicitudes fueron tramitadas a un 100%, siendo el 54.5% correspondientes a prestaciones laborales, 32% a enfermedades comunes y el restante a subsidio por maternidad.</w:t>
      </w:r>
      <w:r w:rsidR="00E64388">
        <w:rPr>
          <w:rFonts w:ascii="Arial" w:hAnsi="Arial" w:cs="Arial"/>
        </w:rPr>
        <w:t xml:space="preserve"> En el mes de junio, del mismo modo las solicitudes fueron tramitadas a un 100%.</w:t>
      </w:r>
    </w:p>
    <w:p w:rsidR="00E64388" w:rsidRPr="00AD2B3C" w:rsidRDefault="00E64388" w:rsidP="00C12765">
      <w:pPr>
        <w:jc w:val="both"/>
        <w:rPr>
          <w:rFonts w:ascii="Arial" w:hAnsi="Arial" w:cs="Arial"/>
        </w:rPr>
      </w:pPr>
    </w:p>
    <w:p w:rsidR="00C12765" w:rsidRPr="00C12765" w:rsidRDefault="00152F49" w:rsidP="00C127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  <w:u w:val="single"/>
        </w:rPr>
        <w:t>Subdirección de Servicios Generales</w:t>
      </w:r>
    </w:p>
    <w:p w:rsidR="00C12765" w:rsidRPr="00C12765" w:rsidRDefault="00C12765" w:rsidP="00C12765">
      <w:pPr>
        <w:pStyle w:val="Prrafodelista"/>
        <w:jc w:val="both"/>
        <w:rPr>
          <w:rFonts w:ascii="Arial" w:hAnsi="Arial" w:cs="Arial"/>
          <w:b/>
        </w:rPr>
      </w:pPr>
    </w:p>
    <w:p w:rsidR="00152F49" w:rsidRPr="00AD2B3C" w:rsidRDefault="00152F49" w:rsidP="00C127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</w:rPr>
        <w:t>Limpieza</w:t>
      </w:r>
    </w:p>
    <w:p w:rsidR="00152F49" w:rsidRPr="00AD2B3C" w:rsidRDefault="00CB3A74" w:rsidP="00C12765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1F0A2CB6" wp14:editId="2F5E7D48">
            <wp:extent cx="3651250" cy="2876550"/>
            <wp:effectExtent l="0" t="0" r="6350" b="0"/>
            <wp:docPr id="2" name="Gráfico 2">
              <a:extLst xmlns:a="http://schemas.openxmlformats.org/drawingml/2006/main">
                <a:ext uri="{FF2B5EF4-FFF2-40B4-BE49-F238E27FC236}">
                  <a16:creationId xmlns:a16="http://schemas.microsoft.com/office/drawing/2014/main" id="{82A13CEB-B434-4B74-9FA1-C4051256F26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F363C" w:rsidRPr="00AD2B3C" w:rsidRDefault="00DB7879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>En</w:t>
      </w:r>
      <w:r w:rsidR="00C52670">
        <w:rPr>
          <w:rFonts w:ascii="Arial" w:hAnsi="Arial" w:cs="Arial"/>
        </w:rPr>
        <w:t xml:space="preserve"> los </w:t>
      </w:r>
      <w:r w:rsidR="00CB3A74">
        <w:rPr>
          <w:rFonts w:ascii="Arial" w:hAnsi="Arial" w:cs="Arial"/>
        </w:rPr>
        <w:t>en el segundo trimestre</w:t>
      </w:r>
      <w:r w:rsidRPr="00AD2B3C">
        <w:rPr>
          <w:rFonts w:ascii="Arial" w:hAnsi="Arial" w:cs="Arial"/>
        </w:rPr>
        <w:t>, el departamento de Limpieza ha cumplido</w:t>
      </w:r>
      <w:r w:rsidR="00380271">
        <w:rPr>
          <w:rFonts w:ascii="Arial" w:hAnsi="Arial" w:cs="Arial"/>
        </w:rPr>
        <w:t xml:space="preserve"> </w:t>
      </w:r>
      <w:r w:rsidR="00F81750">
        <w:rPr>
          <w:rFonts w:ascii="Arial" w:hAnsi="Arial" w:cs="Arial"/>
        </w:rPr>
        <w:t xml:space="preserve">satisfactoriamente </w:t>
      </w:r>
      <w:r w:rsidR="00F81750" w:rsidRPr="00AD2B3C">
        <w:rPr>
          <w:rFonts w:ascii="Arial" w:hAnsi="Arial" w:cs="Arial"/>
        </w:rPr>
        <w:t>con</w:t>
      </w:r>
      <w:r w:rsidRPr="00AD2B3C">
        <w:rPr>
          <w:rFonts w:ascii="Arial" w:hAnsi="Arial" w:cs="Arial"/>
        </w:rPr>
        <w:t xml:space="preserve"> la meta establecida</w:t>
      </w:r>
      <w:r w:rsidR="00380271">
        <w:rPr>
          <w:rFonts w:ascii="Arial" w:hAnsi="Arial" w:cs="Arial"/>
        </w:rPr>
        <w:t xml:space="preserve"> </w:t>
      </w:r>
      <w:r w:rsidRPr="00AD2B3C">
        <w:rPr>
          <w:rFonts w:ascii="Arial" w:hAnsi="Arial" w:cs="Arial"/>
        </w:rPr>
        <w:t xml:space="preserve">para los indicadores de cantidad de </w:t>
      </w:r>
      <w:r w:rsidR="00BB615F">
        <w:rPr>
          <w:rFonts w:ascii="Arial" w:hAnsi="Arial" w:cs="Arial"/>
        </w:rPr>
        <w:t>limpiezas rutinarias</w:t>
      </w:r>
      <w:r w:rsidRPr="00AD2B3C">
        <w:rPr>
          <w:rFonts w:ascii="Arial" w:hAnsi="Arial" w:cs="Arial"/>
        </w:rPr>
        <w:t xml:space="preserve"> realizadas con respecto a las programadas</w:t>
      </w:r>
      <w:r w:rsidR="00C52670">
        <w:rPr>
          <w:rFonts w:ascii="Arial" w:hAnsi="Arial" w:cs="Arial"/>
        </w:rPr>
        <w:t xml:space="preserve">. </w:t>
      </w:r>
      <w:r w:rsidRPr="00AD2B3C">
        <w:rPr>
          <w:rFonts w:ascii="Arial" w:hAnsi="Arial" w:cs="Arial"/>
        </w:rPr>
        <w:t xml:space="preserve"> </w:t>
      </w:r>
    </w:p>
    <w:p w:rsidR="00DB7879" w:rsidRPr="00AD2B3C" w:rsidRDefault="00DB7879" w:rsidP="00C1276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</w:rPr>
        <w:t xml:space="preserve">Lavandería </w:t>
      </w:r>
    </w:p>
    <w:p w:rsidR="00DB7879" w:rsidRPr="00AD2B3C" w:rsidRDefault="00CF363C" w:rsidP="00765064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45589EC1" wp14:editId="759466D8">
            <wp:extent cx="4448175" cy="2095500"/>
            <wp:effectExtent l="0" t="0" r="9525" b="0"/>
            <wp:docPr id="8" name="Gráfico 8">
              <a:extLst xmlns:a="http://schemas.openxmlformats.org/drawingml/2006/main">
                <a:ext uri="{FF2B5EF4-FFF2-40B4-BE49-F238E27FC236}">
                  <a16:creationId xmlns:a16="http://schemas.microsoft.com/office/drawing/2014/main" id="{054C0D6C-5EBB-473F-B681-354DDC43DED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FF74FE" w:rsidRPr="00AD2B3C" w:rsidRDefault="00DB7879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lastRenderedPageBreak/>
        <w:t>Durante el trimestre abril-junio</w:t>
      </w:r>
      <w:r w:rsidR="00F81750">
        <w:rPr>
          <w:rFonts w:ascii="Arial" w:hAnsi="Arial" w:cs="Arial"/>
        </w:rPr>
        <w:t>,</w:t>
      </w:r>
      <w:r w:rsidRPr="00AD2B3C">
        <w:rPr>
          <w:rFonts w:ascii="Arial" w:hAnsi="Arial" w:cs="Arial"/>
        </w:rPr>
        <w:t xml:space="preserve"> el área de Lavandería no cumplió con la calificación esperada, siendo su calificación inferior a la meta de 98%</w:t>
      </w:r>
      <w:r w:rsidR="00FF74FE">
        <w:rPr>
          <w:rFonts w:ascii="Arial" w:hAnsi="Arial" w:cs="Arial"/>
        </w:rPr>
        <w:t xml:space="preserve"> </w:t>
      </w:r>
      <w:r w:rsidRPr="00AD2B3C">
        <w:rPr>
          <w:rFonts w:ascii="Arial" w:hAnsi="Arial" w:cs="Arial"/>
        </w:rPr>
        <w:t xml:space="preserve">establecida en el reglamento de prescripciones técnicas de los servicios de lavandería de ropa hospitalaria en el </w:t>
      </w:r>
      <w:r w:rsidR="00F81750">
        <w:rPr>
          <w:rFonts w:ascii="Arial" w:hAnsi="Arial" w:cs="Arial"/>
        </w:rPr>
        <w:t>H.P.H.M</w:t>
      </w:r>
      <w:r w:rsidR="00F73DC1">
        <w:rPr>
          <w:rFonts w:ascii="Arial" w:hAnsi="Arial" w:cs="Arial"/>
        </w:rPr>
        <w:t>., con el fin de validar el buen funcionamiento e identificar oportunidades de mejora en el mismo.</w:t>
      </w:r>
    </w:p>
    <w:p w:rsidR="00B522F6" w:rsidRPr="00AD2B3C" w:rsidRDefault="00B522F6" w:rsidP="00C1276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</w:rPr>
        <w:t xml:space="preserve">Hostelería: </w:t>
      </w:r>
    </w:p>
    <w:p w:rsidR="00B522F6" w:rsidRPr="00AD2B3C" w:rsidRDefault="00CF363C" w:rsidP="00564A6A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2497C4B4" wp14:editId="26079645">
            <wp:extent cx="4867275" cy="2828925"/>
            <wp:effectExtent l="0" t="0" r="9525" b="9525"/>
            <wp:docPr id="3" name="Gráfico 3">
              <a:extLst xmlns:a="http://schemas.openxmlformats.org/drawingml/2006/main">
                <a:ext uri="{FF2B5EF4-FFF2-40B4-BE49-F238E27FC236}">
                  <a16:creationId xmlns:a16="http://schemas.microsoft.com/office/drawing/2014/main" id="{EB89541C-44B0-4482-85A8-BC640D9A853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AF7799" w:rsidRDefault="00AF7799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segundo trimestre la cantidad de lencería recibida respecto a la entregada cumplió satisfactoriamente con la meta establecida, obteniendo un 90% de cumplimiento en el mes de mayo, y superando la meta en los meses de abril y junio con un 95% de cumplimiento con el indicador. </w:t>
      </w:r>
    </w:p>
    <w:p w:rsidR="00B522F6" w:rsidRPr="00AD2B3C" w:rsidRDefault="00B522F6" w:rsidP="00C1276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</w:rPr>
        <w:t xml:space="preserve">Cocina: </w:t>
      </w:r>
    </w:p>
    <w:p w:rsidR="00B522F6" w:rsidRPr="00AD2B3C" w:rsidRDefault="00FC0C75" w:rsidP="00765064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1A31B5B0" wp14:editId="762CBD95">
            <wp:extent cx="4810125" cy="3076575"/>
            <wp:effectExtent l="0" t="0" r="9525" b="9525"/>
            <wp:docPr id="20" name="Gráfico 20">
              <a:extLst xmlns:a="http://schemas.openxmlformats.org/drawingml/2006/main">
                <a:ext uri="{FF2B5EF4-FFF2-40B4-BE49-F238E27FC236}">
                  <a16:creationId xmlns:a16="http://schemas.microsoft.com/office/drawing/2014/main" id="{26082782-A2E8-4A20-A75C-B2FCDB2135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104FF3" w:rsidRPr="00AD2B3C" w:rsidRDefault="00104FF3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lastRenderedPageBreak/>
        <w:t xml:space="preserve">Indicador de nivel de cumplimiento de checklist durante el mes de abril no alcanzo la meta establecida </w:t>
      </w:r>
      <w:r w:rsidR="00FC19C8" w:rsidRPr="00AD2B3C">
        <w:rPr>
          <w:rFonts w:ascii="Arial" w:hAnsi="Arial" w:cs="Arial"/>
        </w:rPr>
        <w:t xml:space="preserve">obteniendo un 90% debido </w:t>
      </w:r>
      <w:r w:rsidR="0044478C" w:rsidRPr="00AD2B3C">
        <w:rPr>
          <w:rFonts w:ascii="Arial" w:hAnsi="Arial" w:cs="Arial"/>
        </w:rPr>
        <w:t>a la ausencia de manutención, instrumentos y sustancias utilizadas para limpieza almacenadas</w:t>
      </w:r>
      <w:r w:rsidR="00E5007D">
        <w:rPr>
          <w:rFonts w:ascii="Arial" w:hAnsi="Arial" w:cs="Arial"/>
        </w:rPr>
        <w:t>,</w:t>
      </w:r>
      <w:r w:rsidR="0044478C" w:rsidRPr="00AD2B3C">
        <w:rPr>
          <w:rFonts w:ascii="Arial" w:hAnsi="Arial" w:cs="Arial"/>
        </w:rPr>
        <w:t xml:space="preserve"> calendario de limpieza </w:t>
      </w:r>
      <w:r w:rsidR="00541962">
        <w:rPr>
          <w:rFonts w:ascii="Arial" w:hAnsi="Arial" w:cs="Arial"/>
        </w:rPr>
        <w:t xml:space="preserve">no está </w:t>
      </w:r>
      <w:r w:rsidR="0044478C" w:rsidRPr="00AD2B3C">
        <w:rPr>
          <w:rFonts w:ascii="Arial" w:hAnsi="Arial" w:cs="Arial"/>
        </w:rPr>
        <w:t>al día</w:t>
      </w:r>
      <w:r w:rsidR="00122CCB" w:rsidRPr="00AD2B3C">
        <w:rPr>
          <w:rFonts w:ascii="Arial" w:hAnsi="Arial" w:cs="Arial"/>
        </w:rPr>
        <w:t>,</w:t>
      </w:r>
      <w:r w:rsidR="0044478C" w:rsidRPr="00AD2B3C">
        <w:rPr>
          <w:rFonts w:ascii="Arial" w:hAnsi="Arial" w:cs="Arial"/>
        </w:rPr>
        <w:t xml:space="preserve"> vehículos destinados a transportar alimentos para mantenerlo a 60C por lo menos. Del mismo modo, en el mes de mayo no alcanzo la meta, obteniendo un 92%</w:t>
      </w:r>
      <w:r w:rsidR="009829DE">
        <w:rPr>
          <w:rFonts w:ascii="Arial" w:hAnsi="Arial" w:cs="Arial"/>
        </w:rPr>
        <w:t xml:space="preserve"> debido a que el calendario de limpieza no está al día, extractor de olores apagado</w:t>
      </w:r>
      <w:r w:rsidR="00061427">
        <w:rPr>
          <w:rFonts w:ascii="Arial" w:hAnsi="Arial" w:cs="Arial"/>
        </w:rPr>
        <w:t xml:space="preserve"> y establecimientos con vestidores y cuartos de aseo insuficientes. </w:t>
      </w:r>
      <w:r w:rsidR="00AB3F2A">
        <w:rPr>
          <w:rFonts w:ascii="Arial" w:hAnsi="Arial" w:cs="Arial"/>
        </w:rPr>
        <w:t xml:space="preserve">Ya para el mes de junio el cumplimiento </w:t>
      </w:r>
      <w:r w:rsidR="009A44E9">
        <w:rPr>
          <w:rFonts w:ascii="Arial" w:hAnsi="Arial" w:cs="Arial"/>
        </w:rPr>
        <w:t>fue</w:t>
      </w:r>
      <w:r w:rsidR="00AB3F2A">
        <w:rPr>
          <w:rFonts w:ascii="Arial" w:hAnsi="Arial" w:cs="Arial"/>
        </w:rPr>
        <w:t xml:space="preserve"> de un </w:t>
      </w:r>
      <w:r w:rsidR="009A44E9">
        <w:rPr>
          <w:rFonts w:ascii="Arial" w:hAnsi="Arial" w:cs="Arial"/>
        </w:rPr>
        <w:t>96%</w:t>
      </w:r>
      <w:r w:rsidR="002060CB">
        <w:rPr>
          <w:rFonts w:ascii="Arial" w:hAnsi="Arial" w:cs="Arial"/>
        </w:rPr>
        <w:t>, sobrepasando la meta establecida.</w:t>
      </w:r>
    </w:p>
    <w:p w:rsidR="00104FF3" w:rsidRDefault="00104FF3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>Con respecto al total de empleados capacitados</w:t>
      </w:r>
      <w:r w:rsidR="009829DE">
        <w:rPr>
          <w:rFonts w:ascii="Arial" w:hAnsi="Arial" w:cs="Arial"/>
        </w:rPr>
        <w:t xml:space="preserve"> en higiene y manipulación de alimentos </w:t>
      </w:r>
      <w:r w:rsidR="009829DE" w:rsidRPr="00AD2B3C">
        <w:rPr>
          <w:rFonts w:ascii="Arial" w:hAnsi="Arial" w:cs="Arial"/>
        </w:rPr>
        <w:t>en</w:t>
      </w:r>
      <w:r w:rsidR="00FF74FE">
        <w:rPr>
          <w:rFonts w:ascii="Arial" w:hAnsi="Arial" w:cs="Arial"/>
        </w:rPr>
        <w:t xml:space="preserve"> el mes de abril </w:t>
      </w:r>
      <w:r w:rsidRPr="00AD2B3C">
        <w:rPr>
          <w:rFonts w:ascii="Arial" w:hAnsi="Arial" w:cs="Arial"/>
        </w:rPr>
        <w:t>solo consta con un 86% de colaboradores capacitados en el área</w:t>
      </w:r>
      <w:r w:rsidR="009829DE">
        <w:rPr>
          <w:rFonts w:ascii="Arial" w:hAnsi="Arial" w:cs="Arial"/>
        </w:rPr>
        <w:t xml:space="preserve">, mientras en </w:t>
      </w:r>
      <w:r w:rsidR="00AF7799">
        <w:rPr>
          <w:rFonts w:ascii="Arial" w:hAnsi="Arial" w:cs="Arial"/>
        </w:rPr>
        <w:t xml:space="preserve">los meses de mayo y junio no hubo capacitación para los empleados del área de cocina. </w:t>
      </w:r>
    </w:p>
    <w:p w:rsidR="00061427" w:rsidRPr="00AD2B3C" w:rsidRDefault="00061427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total de dieta preparada por nutrición, no se evidencia dietas desechadas. </w:t>
      </w:r>
    </w:p>
    <w:p w:rsidR="00B522F6" w:rsidRPr="00AD2B3C" w:rsidRDefault="00B522F6" w:rsidP="00C1276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</w:rPr>
        <w:t xml:space="preserve">Sastrería: </w:t>
      </w:r>
    </w:p>
    <w:p w:rsidR="00B522F6" w:rsidRPr="00AD2B3C" w:rsidRDefault="009A44E9" w:rsidP="00765064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DEE88C6" wp14:editId="3F0AEDDC">
            <wp:extent cx="3019425" cy="2135505"/>
            <wp:effectExtent l="0" t="0" r="9525" b="17145"/>
            <wp:docPr id="14" name="Gráfico 14">
              <a:extLst xmlns:a="http://schemas.openxmlformats.org/drawingml/2006/main">
                <a:ext uri="{FF2B5EF4-FFF2-40B4-BE49-F238E27FC236}">
                  <a16:creationId xmlns:a16="http://schemas.microsoft.com/office/drawing/2014/main" id="{8EE1F46A-9DBB-48A4-84AD-76EFDC119BA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B522F6" w:rsidRDefault="002B01BF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 xml:space="preserve">Durante </w:t>
      </w:r>
      <w:r w:rsidR="009A44E9">
        <w:rPr>
          <w:rFonts w:ascii="Arial" w:hAnsi="Arial" w:cs="Arial"/>
        </w:rPr>
        <w:t>el trimestre</w:t>
      </w:r>
      <w:r w:rsidRPr="00AD2B3C">
        <w:rPr>
          <w:rFonts w:ascii="Arial" w:hAnsi="Arial" w:cs="Arial"/>
        </w:rPr>
        <w:t xml:space="preserve"> se obtuvo un 100% en el porcentaje de lencerías elaboradas respecto a las programadas, superando </w:t>
      </w:r>
      <w:r w:rsidR="00AE21DE">
        <w:rPr>
          <w:rFonts w:ascii="Arial" w:hAnsi="Arial" w:cs="Arial"/>
        </w:rPr>
        <w:t xml:space="preserve">satisfactoriamente </w:t>
      </w:r>
      <w:r w:rsidRPr="00AD2B3C">
        <w:rPr>
          <w:rFonts w:ascii="Arial" w:hAnsi="Arial" w:cs="Arial"/>
        </w:rPr>
        <w:t>la meta establecida</w:t>
      </w:r>
      <w:r w:rsidR="00AE21DE">
        <w:rPr>
          <w:rFonts w:ascii="Arial" w:hAnsi="Arial" w:cs="Arial"/>
        </w:rPr>
        <w:t>.</w:t>
      </w:r>
      <w:r w:rsidRPr="00AD2B3C">
        <w:rPr>
          <w:rFonts w:ascii="Arial" w:hAnsi="Arial" w:cs="Arial"/>
        </w:rPr>
        <w:t xml:space="preserve"> </w:t>
      </w:r>
    </w:p>
    <w:p w:rsidR="002B01BF" w:rsidRPr="00AD2B3C" w:rsidRDefault="002B01BF" w:rsidP="00C12765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</w:rPr>
        <w:t xml:space="preserve">Readecuación y Ornato: </w:t>
      </w:r>
    </w:p>
    <w:p w:rsidR="00DE737B" w:rsidRPr="00DE737B" w:rsidRDefault="00AE21DE" w:rsidP="00765064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50614D08" wp14:editId="010CC042">
            <wp:extent cx="3366000" cy="2469600"/>
            <wp:effectExtent l="0" t="0" r="6350" b="6985"/>
            <wp:docPr id="34" name="Gráfico 34">
              <a:extLst xmlns:a="http://schemas.openxmlformats.org/drawingml/2006/main">
                <a:ext uri="{FF2B5EF4-FFF2-40B4-BE49-F238E27FC236}">
                  <a16:creationId xmlns:a16="http://schemas.microsoft.com/office/drawing/2014/main" id="{69D3211C-EC14-4DA2-9621-22A4F1031F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217DB6" w:rsidRPr="00AD2B3C" w:rsidRDefault="002B01BF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lastRenderedPageBreak/>
        <w:t xml:space="preserve">En </w:t>
      </w:r>
      <w:r w:rsidR="00217DB6">
        <w:rPr>
          <w:rFonts w:ascii="Arial" w:hAnsi="Arial" w:cs="Arial"/>
        </w:rPr>
        <w:t>los</w:t>
      </w:r>
      <w:r w:rsidRPr="00AD2B3C">
        <w:rPr>
          <w:rFonts w:ascii="Arial" w:hAnsi="Arial" w:cs="Arial"/>
        </w:rPr>
        <w:t xml:space="preserve"> mes</w:t>
      </w:r>
      <w:r w:rsidR="00217DB6">
        <w:rPr>
          <w:rFonts w:ascii="Arial" w:hAnsi="Arial" w:cs="Arial"/>
        </w:rPr>
        <w:t>es</w:t>
      </w:r>
      <w:r w:rsidRPr="00AD2B3C">
        <w:rPr>
          <w:rFonts w:ascii="Arial" w:hAnsi="Arial" w:cs="Arial"/>
        </w:rPr>
        <w:t xml:space="preserve"> de abril</w:t>
      </w:r>
      <w:r w:rsidR="00217DB6">
        <w:rPr>
          <w:rFonts w:ascii="Arial" w:hAnsi="Arial" w:cs="Arial"/>
        </w:rPr>
        <w:t xml:space="preserve"> y mayo del 2do trimestre</w:t>
      </w:r>
      <w:r w:rsidRPr="00AD2B3C">
        <w:rPr>
          <w:rFonts w:ascii="Arial" w:hAnsi="Arial" w:cs="Arial"/>
        </w:rPr>
        <w:t xml:space="preserve">, el porcentaje de propuestas diseñadas con respecto a las solicitadas </w:t>
      </w:r>
      <w:r w:rsidR="00217DB6">
        <w:rPr>
          <w:rFonts w:ascii="Arial" w:hAnsi="Arial" w:cs="Arial"/>
        </w:rPr>
        <w:t xml:space="preserve">cumplió satisfactoriamente con la meta establecida, lo cual en abril </w:t>
      </w:r>
      <w:r w:rsidR="00061427">
        <w:rPr>
          <w:rFonts w:ascii="Arial" w:hAnsi="Arial" w:cs="Arial"/>
        </w:rPr>
        <w:t xml:space="preserve">se </w:t>
      </w:r>
      <w:r w:rsidR="00217DB6">
        <w:rPr>
          <w:rFonts w:ascii="Arial" w:hAnsi="Arial" w:cs="Arial"/>
        </w:rPr>
        <w:t>obtuvo un porcentaje superior</w:t>
      </w:r>
      <w:r w:rsidRPr="00AD2B3C">
        <w:rPr>
          <w:rFonts w:ascii="Arial" w:hAnsi="Arial" w:cs="Arial"/>
        </w:rPr>
        <w:t xml:space="preserve">. Por otro lado, </w:t>
      </w:r>
      <w:r w:rsidR="009F7D08">
        <w:rPr>
          <w:rFonts w:ascii="Arial" w:hAnsi="Arial" w:cs="Arial"/>
        </w:rPr>
        <w:t xml:space="preserve">ninguno de los proyectos autorizados se ejecutó en el mes de abril, mientras en el mes de mayo solo se ejecutó el 50%, esto se debe a la espera de los materiales necesarios para su ejecución.  </w:t>
      </w:r>
    </w:p>
    <w:p w:rsidR="002B01BF" w:rsidRPr="00AD2B3C" w:rsidRDefault="002B01BF" w:rsidP="00C12765">
      <w:pPr>
        <w:pStyle w:val="Prrafodelista"/>
        <w:jc w:val="both"/>
        <w:rPr>
          <w:rFonts w:ascii="Arial" w:hAnsi="Arial" w:cs="Arial"/>
          <w:b/>
          <w:u w:val="single"/>
        </w:rPr>
      </w:pPr>
      <w:r w:rsidRPr="00AD2B3C">
        <w:rPr>
          <w:rFonts w:ascii="Arial" w:hAnsi="Arial" w:cs="Arial"/>
          <w:b/>
          <w:u w:val="single"/>
        </w:rPr>
        <w:t>Subdirección de Planificación</w:t>
      </w:r>
    </w:p>
    <w:p w:rsidR="002B01BF" w:rsidRPr="00AD2B3C" w:rsidRDefault="002B01BF" w:rsidP="00C12765">
      <w:pPr>
        <w:pStyle w:val="Prrafodelista"/>
        <w:jc w:val="both"/>
        <w:rPr>
          <w:rFonts w:ascii="Arial" w:hAnsi="Arial" w:cs="Arial"/>
          <w:b/>
          <w:u w:val="single"/>
        </w:rPr>
      </w:pPr>
    </w:p>
    <w:p w:rsidR="002B01BF" w:rsidRPr="00AD2B3C" w:rsidRDefault="002B01BF" w:rsidP="00C12765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</w:rPr>
        <w:t>Estadística Hospitalaria</w:t>
      </w:r>
      <w:r w:rsidR="006B3915" w:rsidRPr="00AD2B3C">
        <w:rPr>
          <w:rFonts w:ascii="Arial" w:hAnsi="Arial" w:cs="Arial"/>
          <w:b/>
        </w:rPr>
        <w:t>:</w:t>
      </w:r>
    </w:p>
    <w:p w:rsidR="009A44E9" w:rsidRDefault="009A44E9" w:rsidP="009A44E9">
      <w:pPr>
        <w:jc w:val="both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207B5459" wp14:editId="3F728680">
            <wp:extent cx="5934075" cy="2914650"/>
            <wp:effectExtent l="0" t="0" r="9525" b="0"/>
            <wp:docPr id="15" name="Gráfico 15">
              <a:extLst xmlns:a="http://schemas.openxmlformats.org/drawingml/2006/main">
                <a:ext uri="{FF2B5EF4-FFF2-40B4-BE49-F238E27FC236}">
                  <a16:creationId xmlns:a16="http://schemas.microsoft.com/office/drawing/2014/main" id="{751D8712-FCB8-4046-8C2B-054BA8A046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9A44E9" w:rsidRPr="008047EB" w:rsidRDefault="008047EB" w:rsidP="009A44E9">
      <w:pPr>
        <w:jc w:val="both"/>
        <w:rPr>
          <w:rFonts w:ascii="Arial" w:hAnsi="Arial" w:cs="Arial"/>
        </w:rPr>
      </w:pPr>
      <w:r w:rsidRPr="008047EB">
        <w:rPr>
          <w:rFonts w:ascii="Arial" w:hAnsi="Arial" w:cs="Arial"/>
        </w:rPr>
        <w:t>Durante el trimestre se obtuvo un 100% en el porcentaje de</w:t>
      </w:r>
      <w:r>
        <w:rPr>
          <w:rFonts w:ascii="Arial" w:hAnsi="Arial" w:cs="Arial"/>
        </w:rPr>
        <w:t xml:space="preserve"> informes, reportes y demás actividades programadas para el trimestre</w:t>
      </w:r>
      <w:r w:rsidRPr="008047EB">
        <w:rPr>
          <w:rFonts w:ascii="Arial" w:hAnsi="Arial" w:cs="Arial"/>
        </w:rPr>
        <w:t>, superando satisfactoriamente la meta establecida.</w:t>
      </w:r>
    </w:p>
    <w:p w:rsidR="006B3915" w:rsidRPr="009A44E9" w:rsidRDefault="006B3915" w:rsidP="009A44E9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b/>
        </w:rPr>
      </w:pPr>
      <w:r w:rsidRPr="009A44E9">
        <w:rPr>
          <w:rFonts w:ascii="Arial" w:hAnsi="Arial" w:cs="Arial"/>
          <w:b/>
        </w:rPr>
        <w:t xml:space="preserve">Archivo clínico: </w:t>
      </w:r>
    </w:p>
    <w:p w:rsidR="00765064" w:rsidRDefault="00424D7E" w:rsidP="00C12765">
      <w:pPr>
        <w:jc w:val="both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72A67E4" wp14:editId="35971BF6">
            <wp:extent cx="5400040" cy="2362200"/>
            <wp:effectExtent l="0" t="0" r="10160" b="0"/>
            <wp:docPr id="17" name="Gráfico 17">
              <a:extLst xmlns:a="http://schemas.openxmlformats.org/drawingml/2006/main">
                <a:ext uri="{FF2B5EF4-FFF2-40B4-BE49-F238E27FC236}">
                  <a16:creationId xmlns:a16="http://schemas.microsoft.com/office/drawing/2014/main" id="{E99AFB99-D77F-4B9B-9C93-6E5516FCA93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8047EB" w:rsidRDefault="008047EB" w:rsidP="00C12765">
      <w:pPr>
        <w:jc w:val="both"/>
        <w:rPr>
          <w:rFonts w:ascii="Arial" w:hAnsi="Arial" w:cs="Arial"/>
        </w:rPr>
      </w:pPr>
      <w:bookmarkStart w:id="1" w:name="_Hlk523397967"/>
      <w:r w:rsidRPr="008047EB">
        <w:rPr>
          <w:rFonts w:ascii="Arial" w:hAnsi="Arial" w:cs="Arial"/>
        </w:rPr>
        <w:t xml:space="preserve">Durante el trimestre se obtuvo un 100% en el porcentaje de </w:t>
      </w:r>
      <w:r>
        <w:rPr>
          <w:rFonts w:ascii="Arial" w:hAnsi="Arial" w:cs="Arial"/>
        </w:rPr>
        <w:t>todas las actividades de manejo de los expedientes clínicos archivados</w:t>
      </w:r>
      <w:r w:rsidRPr="008047EB">
        <w:rPr>
          <w:rFonts w:ascii="Arial" w:hAnsi="Arial" w:cs="Arial"/>
        </w:rPr>
        <w:t>, superando satisfactoriamente la meta establecida.</w:t>
      </w:r>
    </w:p>
    <w:bookmarkEnd w:id="1"/>
    <w:p w:rsidR="008047EB" w:rsidRPr="00AD2B3C" w:rsidRDefault="008047EB" w:rsidP="00C12765">
      <w:pPr>
        <w:jc w:val="both"/>
        <w:rPr>
          <w:rFonts w:ascii="Arial" w:hAnsi="Arial" w:cs="Arial"/>
        </w:rPr>
      </w:pPr>
    </w:p>
    <w:p w:rsidR="006B3915" w:rsidRPr="00AD2B3C" w:rsidRDefault="006B3915" w:rsidP="00C12765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AD2B3C">
        <w:rPr>
          <w:rFonts w:ascii="Arial" w:hAnsi="Arial" w:cs="Arial"/>
          <w:b/>
        </w:rPr>
        <w:t xml:space="preserve">Monitoreo y Calidad: </w:t>
      </w:r>
    </w:p>
    <w:p w:rsidR="006B3915" w:rsidRPr="00AD2B3C" w:rsidRDefault="009F7D08" w:rsidP="00765064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1210D516" wp14:editId="203E6D8D">
            <wp:extent cx="3783600" cy="2469600"/>
            <wp:effectExtent l="0" t="0" r="7620" b="6985"/>
            <wp:docPr id="11" name="Gráfico 11">
              <a:extLst xmlns:a="http://schemas.openxmlformats.org/drawingml/2006/main">
                <a:ext uri="{FF2B5EF4-FFF2-40B4-BE49-F238E27FC236}">
                  <a16:creationId xmlns:a16="http://schemas.microsoft.com/office/drawing/2014/main" id="{2096971D-291F-418D-A16A-02DA9A335C3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FD4A3B" w:rsidRPr="00AD2B3C" w:rsidRDefault="0044478C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 xml:space="preserve">Durante </w:t>
      </w:r>
      <w:r w:rsidR="00FD4A3B" w:rsidRPr="00AD2B3C">
        <w:rPr>
          <w:rFonts w:ascii="Arial" w:hAnsi="Arial" w:cs="Arial"/>
        </w:rPr>
        <w:t xml:space="preserve">el mes de abril, el área de monitoreo y calidad ha realizado satisfactoriamente la cantidad de auditorias programadas, así como también la cantidad de reportes de seguimiento y monitoreo programados. </w:t>
      </w:r>
      <w:r w:rsidR="009D1419">
        <w:rPr>
          <w:rFonts w:ascii="Arial" w:hAnsi="Arial" w:cs="Arial"/>
        </w:rPr>
        <w:t xml:space="preserve">En el mes de mayo, la cantidad de auditorias programadas se realizaron a un 67% y no se realizó reporte alguno sobre las mismas. </w:t>
      </w:r>
    </w:p>
    <w:p w:rsidR="00FD4A3B" w:rsidRPr="00AD2B3C" w:rsidRDefault="00FD4A3B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>Con respecto al indicador correspondiente al porcentaje de seguimientos de estándares Carta Compromiso al ciudadano, no existe ningún hallazgo</w:t>
      </w:r>
      <w:r w:rsidR="009D1419">
        <w:rPr>
          <w:rFonts w:ascii="Arial" w:hAnsi="Arial" w:cs="Arial"/>
        </w:rPr>
        <w:t xml:space="preserve">. </w:t>
      </w:r>
    </w:p>
    <w:p w:rsidR="00FD4A3B" w:rsidRPr="00E86DC3" w:rsidRDefault="00FD4A3B" w:rsidP="00C12765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AD2B3C">
        <w:rPr>
          <w:rFonts w:ascii="Arial" w:hAnsi="Arial" w:cs="Arial"/>
          <w:b/>
        </w:rPr>
        <w:t xml:space="preserve">Epidemiologia </w:t>
      </w:r>
    </w:p>
    <w:p w:rsidR="00104E42" w:rsidRPr="00AD2B3C" w:rsidRDefault="00104E42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Durante el mes de abril, el departamento de epidemiologia no obtuvo registro de Infecciones Asociadas a la Atención de Salud (IAAS).</w:t>
      </w:r>
    </w:p>
    <w:p w:rsidR="00FD4A3B" w:rsidRPr="00C60694" w:rsidRDefault="00FD4A3B" w:rsidP="00C12765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AD2B3C">
        <w:rPr>
          <w:rFonts w:ascii="Arial" w:hAnsi="Arial" w:cs="Arial"/>
          <w:b/>
        </w:rPr>
        <w:t xml:space="preserve">Presupuesto </w:t>
      </w:r>
    </w:p>
    <w:p w:rsidR="00C60694" w:rsidRPr="00C60694" w:rsidRDefault="00031C50" w:rsidP="00765064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06A9E1C8" wp14:editId="33DEEB88">
            <wp:extent cx="4581525" cy="3267075"/>
            <wp:effectExtent l="0" t="0" r="9525" b="9525"/>
            <wp:docPr id="30" name="Gráfico 30">
              <a:extLst xmlns:a="http://schemas.openxmlformats.org/drawingml/2006/main">
                <a:ext uri="{FF2B5EF4-FFF2-40B4-BE49-F238E27FC236}">
                  <a16:creationId xmlns:a16="http://schemas.microsoft.com/office/drawing/2014/main" id="{AAA5A5D3-8BA2-4688-9207-39E2B9D570E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C60694" w:rsidRDefault="009D297E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</w:t>
      </w:r>
      <w:r w:rsidR="00A7589B">
        <w:rPr>
          <w:rFonts w:ascii="Arial" w:hAnsi="Arial" w:cs="Arial"/>
        </w:rPr>
        <w:t xml:space="preserve"> el trimestre</w:t>
      </w:r>
      <w:r>
        <w:rPr>
          <w:rFonts w:ascii="Arial" w:hAnsi="Arial" w:cs="Arial"/>
        </w:rPr>
        <w:t xml:space="preserve"> se realizó satisfactoriamente l</w:t>
      </w:r>
      <w:r w:rsidR="00C60694">
        <w:rPr>
          <w:rFonts w:ascii="Arial" w:hAnsi="Arial" w:cs="Arial"/>
        </w:rPr>
        <w:t xml:space="preserve">a programación de los procesos presupuestarios realizados </w:t>
      </w:r>
      <w:r>
        <w:rPr>
          <w:rFonts w:ascii="Arial" w:hAnsi="Arial" w:cs="Arial"/>
        </w:rPr>
        <w:t xml:space="preserve">a inicio de cada mes en el SIGEF, así mismo como la realización de preventivo compromiso de ejecución del gasto. </w:t>
      </w:r>
    </w:p>
    <w:p w:rsidR="000268A1" w:rsidRPr="00AD2B3C" w:rsidRDefault="000268A1" w:rsidP="00C12765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AD2B3C">
        <w:rPr>
          <w:rFonts w:ascii="Arial" w:hAnsi="Arial" w:cs="Arial"/>
          <w:b/>
        </w:rPr>
        <w:t xml:space="preserve">Planificación </w:t>
      </w:r>
    </w:p>
    <w:p w:rsidR="000268A1" w:rsidRPr="00AD2B3C" w:rsidRDefault="00D65750" w:rsidP="00FF4C6D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075D4A00" wp14:editId="2E35263F">
            <wp:extent cx="3366000" cy="2469600"/>
            <wp:effectExtent l="0" t="0" r="6350" b="6985"/>
            <wp:docPr id="7" name="Gráfico 7">
              <a:extLst xmlns:a="http://schemas.openxmlformats.org/drawingml/2006/main">
                <a:ext uri="{FF2B5EF4-FFF2-40B4-BE49-F238E27FC236}">
                  <a16:creationId xmlns:a16="http://schemas.microsoft.com/office/drawing/2014/main" id="{CCF8F323-FE8B-4BD4-8E8D-A1769530E1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806157" w:rsidRDefault="00D65750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El porcentaje de informes de cumplimiento del plan operativo anual (POA) y la actualización del Balance Score</w:t>
      </w:r>
      <w:r w:rsidR="001C64CB">
        <w:rPr>
          <w:rFonts w:ascii="Arial" w:hAnsi="Arial" w:cs="Arial"/>
        </w:rPr>
        <w:t>card</w:t>
      </w:r>
      <w:r>
        <w:rPr>
          <w:rFonts w:ascii="Arial" w:hAnsi="Arial" w:cs="Arial"/>
        </w:rPr>
        <w:t xml:space="preserve"> (BSC) cumplen en un 100% la meta en el segundo trimestre del año. </w:t>
      </w:r>
    </w:p>
    <w:p w:rsidR="00A7589B" w:rsidRDefault="00A7589B" w:rsidP="00C12765">
      <w:pPr>
        <w:jc w:val="both"/>
        <w:rPr>
          <w:rFonts w:ascii="Arial" w:hAnsi="Arial" w:cs="Arial"/>
          <w:b/>
          <w:u w:val="single"/>
        </w:rPr>
      </w:pPr>
    </w:p>
    <w:p w:rsidR="00A7589B" w:rsidRDefault="00A7589B" w:rsidP="00C12765">
      <w:pPr>
        <w:jc w:val="both"/>
        <w:rPr>
          <w:rFonts w:ascii="Arial" w:hAnsi="Arial" w:cs="Arial"/>
          <w:b/>
          <w:u w:val="single"/>
        </w:rPr>
      </w:pPr>
    </w:p>
    <w:p w:rsidR="00A7589B" w:rsidRDefault="00A7589B" w:rsidP="00C12765">
      <w:pPr>
        <w:jc w:val="both"/>
        <w:rPr>
          <w:rFonts w:ascii="Arial" w:hAnsi="Arial" w:cs="Arial"/>
          <w:b/>
          <w:u w:val="single"/>
        </w:rPr>
      </w:pPr>
    </w:p>
    <w:p w:rsidR="00A7589B" w:rsidRDefault="00A7589B" w:rsidP="00C12765">
      <w:pPr>
        <w:jc w:val="both"/>
        <w:rPr>
          <w:rFonts w:ascii="Arial" w:hAnsi="Arial" w:cs="Arial"/>
          <w:b/>
          <w:u w:val="single"/>
        </w:rPr>
      </w:pPr>
    </w:p>
    <w:p w:rsidR="000268A1" w:rsidRPr="00AD2B3C" w:rsidRDefault="000268A1" w:rsidP="00C12765">
      <w:pPr>
        <w:jc w:val="both"/>
        <w:rPr>
          <w:rFonts w:ascii="Arial" w:hAnsi="Arial" w:cs="Arial"/>
          <w:b/>
          <w:u w:val="single"/>
        </w:rPr>
      </w:pPr>
      <w:r w:rsidRPr="00AD2B3C">
        <w:rPr>
          <w:rFonts w:ascii="Arial" w:hAnsi="Arial" w:cs="Arial"/>
          <w:b/>
          <w:u w:val="single"/>
        </w:rPr>
        <w:lastRenderedPageBreak/>
        <w:t xml:space="preserve">Subdirección Financiera y Administrativa </w:t>
      </w:r>
    </w:p>
    <w:p w:rsidR="000268A1" w:rsidRPr="00564A6A" w:rsidRDefault="000268A1" w:rsidP="00C12765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</w:rPr>
      </w:pPr>
      <w:r w:rsidRPr="00564A6A">
        <w:rPr>
          <w:rFonts w:ascii="Arial" w:hAnsi="Arial" w:cs="Arial"/>
          <w:b/>
        </w:rPr>
        <w:t>Contabilidad</w:t>
      </w:r>
    </w:p>
    <w:p w:rsidR="000268A1" w:rsidRPr="00AD2B3C" w:rsidRDefault="00031C50" w:rsidP="001C64CB">
      <w:pPr>
        <w:jc w:val="center"/>
        <w:rPr>
          <w:rFonts w:ascii="Arial" w:hAnsi="Arial" w:cs="Arial"/>
          <w:b/>
          <w:u w:val="single"/>
        </w:rPr>
      </w:pPr>
      <w:r>
        <w:rPr>
          <w:noProof/>
        </w:rPr>
        <w:drawing>
          <wp:inline distT="0" distB="0" distL="0" distR="0" wp14:anchorId="4F942282" wp14:editId="7BD74E2F">
            <wp:extent cx="4581525" cy="2962275"/>
            <wp:effectExtent l="0" t="0" r="9525" b="9525"/>
            <wp:docPr id="31" name="Gráfico 31">
              <a:extLst xmlns:a="http://schemas.openxmlformats.org/drawingml/2006/main">
                <a:ext uri="{FF2B5EF4-FFF2-40B4-BE49-F238E27FC236}">
                  <a16:creationId xmlns:a16="http://schemas.microsoft.com/office/drawing/2014/main" id="{44E14643-0954-498D-AAF1-48CB5F629B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C318CF" w:rsidRDefault="00EC6E1F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 xml:space="preserve">Durante el </w:t>
      </w:r>
      <w:r w:rsidR="007C1F84" w:rsidRPr="00AD2B3C">
        <w:rPr>
          <w:rFonts w:ascii="Arial" w:hAnsi="Arial" w:cs="Arial"/>
        </w:rPr>
        <w:t>trimestre abril-junio, en el pri</w:t>
      </w:r>
      <w:r w:rsidR="00D65750">
        <w:rPr>
          <w:rFonts w:ascii="Arial" w:hAnsi="Arial" w:cs="Arial"/>
        </w:rPr>
        <w:t>mer y segundo mes</w:t>
      </w:r>
      <w:r w:rsidR="00C318CF">
        <w:rPr>
          <w:rFonts w:ascii="Arial" w:hAnsi="Arial" w:cs="Arial"/>
        </w:rPr>
        <w:t>,</w:t>
      </w:r>
      <w:r w:rsidR="007C1F84" w:rsidRPr="00AD2B3C">
        <w:rPr>
          <w:rFonts w:ascii="Arial" w:hAnsi="Arial" w:cs="Arial"/>
        </w:rPr>
        <w:t xml:space="preserve"> el índice de rotación de las cuentas por pagar</w:t>
      </w:r>
      <w:r w:rsidR="00C318CF">
        <w:rPr>
          <w:rFonts w:ascii="Arial" w:hAnsi="Arial" w:cs="Arial"/>
        </w:rPr>
        <w:t xml:space="preserve"> fue de 0.10</w:t>
      </w:r>
      <w:r w:rsidR="006A0EDE" w:rsidRPr="00AD2B3C">
        <w:rPr>
          <w:rFonts w:ascii="Arial" w:hAnsi="Arial" w:cs="Arial"/>
        </w:rPr>
        <w:t xml:space="preserve">, indicando que el nivel de rotación de las mismas </w:t>
      </w:r>
      <w:r w:rsidR="00C318CF">
        <w:rPr>
          <w:rFonts w:ascii="Arial" w:hAnsi="Arial" w:cs="Arial"/>
        </w:rPr>
        <w:t>cumplió satisfactoriamente con los objetivos</w:t>
      </w:r>
      <w:r w:rsidR="006A0EDE" w:rsidRPr="00AD2B3C">
        <w:rPr>
          <w:rFonts w:ascii="Arial" w:hAnsi="Arial" w:cs="Arial"/>
        </w:rPr>
        <w:t xml:space="preserve"> establecido</w:t>
      </w:r>
      <w:r w:rsidR="00C318CF">
        <w:rPr>
          <w:rFonts w:ascii="Arial" w:hAnsi="Arial" w:cs="Arial"/>
        </w:rPr>
        <w:t>s</w:t>
      </w:r>
      <w:r w:rsidR="006A0EDE" w:rsidRPr="00AD2B3C">
        <w:rPr>
          <w:rFonts w:ascii="Arial" w:hAnsi="Arial" w:cs="Arial"/>
        </w:rPr>
        <w:t>.</w:t>
      </w:r>
    </w:p>
    <w:p w:rsidR="004B1038" w:rsidRPr="00AD2B3C" w:rsidRDefault="006A0EDE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>El índice de rotación de cuentas por cobrar obtuvo como resultado un 0.31</w:t>
      </w:r>
      <w:r w:rsidR="00C318CF">
        <w:rPr>
          <w:rFonts w:ascii="Arial" w:hAnsi="Arial" w:cs="Arial"/>
        </w:rPr>
        <w:t xml:space="preserve"> y </w:t>
      </w:r>
      <w:r w:rsidR="003C5DAA">
        <w:rPr>
          <w:rFonts w:ascii="Arial" w:hAnsi="Arial" w:cs="Arial"/>
        </w:rPr>
        <w:t>0.40,</w:t>
      </w:r>
      <w:r w:rsidRPr="00AD2B3C">
        <w:rPr>
          <w:rFonts w:ascii="Arial" w:hAnsi="Arial" w:cs="Arial"/>
        </w:rPr>
        <w:t xml:space="preserve"> indicando que su rotación es </w:t>
      </w:r>
      <w:r w:rsidR="00C318CF">
        <w:rPr>
          <w:rFonts w:ascii="Arial" w:hAnsi="Arial" w:cs="Arial"/>
        </w:rPr>
        <w:t>eficaz</w:t>
      </w:r>
      <w:r w:rsidR="003C5DAA">
        <w:rPr>
          <w:rFonts w:ascii="Arial" w:hAnsi="Arial" w:cs="Arial"/>
        </w:rPr>
        <w:t xml:space="preserve"> </w:t>
      </w:r>
      <w:r w:rsidRPr="00AD2B3C">
        <w:rPr>
          <w:rFonts w:ascii="Arial" w:hAnsi="Arial" w:cs="Arial"/>
        </w:rPr>
        <w:t>ya que se realiz</w:t>
      </w:r>
      <w:r w:rsidR="00C318CF">
        <w:rPr>
          <w:rFonts w:ascii="Arial" w:hAnsi="Arial" w:cs="Arial"/>
        </w:rPr>
        <w:t>ó</w:t>
      </w:r>
      <w:r w:rsidRPr="00AD2B3C">
        <w:rPr>
          <w:rFonts w:ascii="Arial" w:hAnsi="Arial" w:cs="Arial"/>
        </w:rPr>
        <w:t xml:space="preserve"> </w:t>
      </w:r>
      <w:r w:rsidR="003C5DAA">
        <w:rPr>
          <w:rFonts w:ascii="Arial" w:hAnsi="Arial" w:cs="Arial"/>
        </w:rPr>
        <w:t xml:space="preserve">muy por debajo de la meta. </w:t>
      </w:r>
      <w:r w:rsidRPr="00AD2B3C">
        <w:rPr>
          <w:rFonts w:ascii="Arial" w:hAnsi="Arial" w:cs="Arial"/>
        </w:rPr>
        <w:t xml:space="preserve"> </w:t>
      </w:r>
    </w:p>
    <w:p w:rsidR="000268A1" w:rsidRPr="00AD2B3C" w:rsidRDefault="00031C50" w:rsidP="00FF4C6D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C9A2F32" wp14:editId="155EE7B4">
            <wp:extent cx="4410075" cy="2371725"/>
            <wp:effectExtent l="0" t="0" r="9525" b="9525"/>
            <wp:docPr id="32" name="Gráfico 32">
              <a:extLst xmlns:a="http://schemas.openxmlformats.org/drawingml/2006/main">
                <a:ext uri="{FF2B5EF4-FFF2-40B4-BE49-F238E27FC236}">
                  <a16:creationId xmlns:a16="http://schemas.microsoft.com/office/drawing/2014/main" id="{BF5C9CB6-36CA-495D-8938-50705AD5A1C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3C5DAA" w:rsidRDefault="003C5DAA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estados financieros entregados a Transparencia fueron remitidos satisfactoriamente en el tiempo </w:t>
      </w:r>
      <w:r w:rsidR="00B80ABA">
        <w:rPr>
          <w:rFonts w:ascii="Arial" w:hAnsi="Arial" w:cs="Arial"/>
        </w:rPr>
        <w:t xml:space="preserve">oportuno en </w:t>
      </w:r>
      <w:r w:rsidR="00031C50">
        <w:rPr>
          <w:rFonts w:ascii="Arial" w:hAnsi="Arial" w:cs="Arial"/>
        </w:rPr>
        <w:t>el trimestre</w:t>
      </w:r>
      <w:r w:rsidR="00B80ABA">
        <w:rPr>
          <w:rFonts w:ascii="Arial" w:hAnsi="Arial" w:cs="Arial"/>
        </w:rPr>
        <w:t xml:space="preserve">. </w:t>
      </w:r>
    </w:p>
    <w:p w:rsidR="00A7589B" w:rsidRDefault="00A7589B" w:rsidP="00A7589B">
      <w:pPr>
        <w:pStyle w:val="Prrafodelista"/>
        <w:jc w:val="both"/>
        <w:rPr>
          <w:rFonts w:ascii="Arial" w:hAnsi="Arial" w:cs="Arial"/>
        </w:rPr>
      </w:pPr>
    </w:p>
    <w:p w:rsidR="00A7589B" w:rsidRDefault="00A7589B" w:rsidP="00A7589B">
      <w:pPr>
        <w:pStyle w:val="Prrafodelista"/>
        <w:jc w:val="both"/>
        <w:rPr>
          <w:rFonts w:ascii="Arial" w:hAnsi="Arial" w:cs="Arial"/>
        </w:rPr>
      </w:pPr>
    </w:p>
    <w:p w:rsidR="00A7589B" w:rsidRDefault="00A7589B" w:rsidP="00A7589B">
      <w:pPr>
        <w:pStyle w:val="Prrafodelista"/>
        <w:jc w:val="both"/>
        <w:rPr>
          <w:rFonts w:ascii="Arial" w:hAnsi="Arial" w:cs="Arial"/>
        </w:rPr>
      </w:pPr>
    </w:p>
    <w:p w:rsidR="00A7589B" w:rsidRDefault="00A7589B" w:rsidP="00A7589B">
      <w:pPr>
        <w:pStyle w:val="Prrafodelista"/>
        <w:jc w:val="both"/>
        <w:rPr>
          <w:rFonts w:ascii="Arial" w:hAnsi="Arial" w:cs="Arial"/>
        </w:rPr>
      </w:pPr>
    </w:p>
    <w:p w:rsidR="00A7589B" w:rsidRPr="00A7589B" w:rsidRDefault="00A7589B" w:rsidP="00A7589B">
      <w:pPr>
        <w:pStyle w:val="Prrafodelista"/>
        <w:jc w:val="both"/>
        <w:rPr>
          <w:rFonts w:ascii="Arial" w:hAnsi="Arial" w:cs="Arial"/>
        </w:rPr>
      </w:pPr>
    </w:p>
    <w:p w:rsidR="000268A1" w:rsidRPr="00B80ABA" w:rsidRDefault="00A20B32" w:rsidP="00C12765">
      <w:pPr>
        <w:pStyle w:val="Prrafodelista"/>
        <w:numPr>
          <w:ilvl w:val="0"/>
          <w:numId w:val="4"/>
        </w:numPr>
        <w:jc w:val="both"/>
        <w:rPr>
          <w:rFonts w:ascii="Arial" w:hAnsi="Arial" w:cs="Arial"/>
        </w:rPr>
      </w:pPr>
      <w:r w:rsidRPr="00AD2B3C">
        <w:rPr>
          <w:rFonts w:ascii="Arial" w:hAnsi="Arial" w:cs="Arial"/>
          <w:b/>
        </w:rPr>
        <w:lastRenderedPageBreak/>
        <w:t xml:space="preserve">Facturación </w:t>
      </w:r>
    </w:p>
    <w:p w:rsidR="00B80ABA" w:rsidRDefault="00B20FFD" w:rsidP="001C64CB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3335386F" wp14:editId="1A2D19A2">
            <wp:extent cx="4464051" cy="2438400"/>
            <wp:effectExtent l="0" t="0" r="12700" b="0"/>
            <wp:docPr id="37" name="Gráfico 37">
              <a:extLst xmlns:a="http://schemas.openxmlformats.org/drawingml/2006/main">
                <a:ext uri="{FF2B5EF4-FFF2-40B4-BE49-F238E27FC236}">
                  <a16:creationId xmlns:a16="http://schemas.microsoft.com/office/drawing/2014/main" id="{9ED65E84-C5F6-4B74-BD6C-A44E43957F6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2003F4" w:rsidRPr="00B80ABA" w:rsidRDefault="003821DD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área de facturación, en los meses abril y mayo, </w:t>
      </w:r>
      <w:r w:rsidR="00994D95">
        <w:rPr>
          <w:rFonts w:ascii="Arial" w:hAnsi="Arial" w:cs="Arial"/>
        </w:rPr>
        <w:t xml:space="preserve">en </w:t>
      </w:r>
      <w:r>
        <w:rPr>
          <w:rFonts w:ascii="Arial" w:hAnsi="Arial" w:cs="Arial"/>
        </w:rPr>
        <w:t xml:space="preserve">el nivel de facturas anuladas se han obtenido resultados favorables ya que en el mes de abril se presento un </w:t>
      </w:r>
      <w:r w:rsidR="00994D95">
        <w:rPr>
          <w:rFonts w:ascii="Arial" w:hAnsi="Arial" w:cs="Arial"/>
        </w:rPr>
        <w:t>3.48</w:t>
      </w:r>
      <w:r>
        <w:rPr>
          <w:rFonts w:ascii="Arial" w:hAnsi="Arial" w:cs="Arial"/>
        </w:rPr>
        <w:t xml:space="preserve">% de facturas anuladas con respecto al total facturado, mientras para el mes de mayo fue de 2.87%, estos deben a errores por facturadores, cargo por error, otros motivos no especificados, entre otras posibles causas. </w:t>
      </w:r>
    </w:p>
    <w:p w:rsidR="006A0EDE" w:rsidRPr="00A7589B" w:rsidRDefault="006A0EDE" w:rsidP="00C12765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highlight w:val="yellow"/>
        </w:rPr>
      </w:pPr>
      <w:r w:rsidRPr="00A7589B">
        <w:rPr>
          <w:rFonts w:ascii="Arial" w:hAnsi="Arial" w:cs="Arial"/>
          <w:b/>
          <w:highlight w:val="yellow"/>
        </w:rPr>
        <w:t>Reclamaciones de seguro</w:t>
      </w:r>
    </w:p>
    <w:p w:rsidR="003821DD" w:rsidRPr="003821DD" w:rsidRDefault="003821DD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área de reclamaciones de seguro, es imprescindible tener en cuenta que </w:t>
      </w:r>
      <w:r w:rsidR="00A019A4">
        <w:rPr>
          <w:rFonts w:ascii="Arial" w:hAnsi="Arial" w:cs="Arial"/>
        </w:rPr>
        <w:t xml:space="preserve">las </w:t>
      </w:r>
      <w:r w:rsidR="00A019A4" w:rsidRPr="00A7589B">
        <w:rPr>
          <w:rFonts w:ascii="Arial" w:hAnsi="Arial" w:cs="Arial"/>
        </w:rPr>
        <w:t>reclamaciones de seguros</w:t>
      </w:r>
      <w:r w:rsidR="00A019A4">
        <w:rPr>
          <w:rFonts w:ascii="Arial" w:hAnsi="Arial" w:cs="Arial"/>
        </w:rPr>
        <w:t xml:space="preserve"> tienen</w:t>
      </w:r>
      <w:r>
        <w:rPr>
          <w:rFonts w:ascii="Arial" w:hAnsi="Arial" w:cs="Arial"/>
        </w:rPr>
        <w:t xml:space="preserve"> un plazo establecido de </w:t>
      </w:r>
      <w:r w:rsidR="00994D95">
        <w:rPr>
          <w:rFonts w:ascii="Arial" w:hAnsi="Arial" w:cs="Arial"/>
        </w:rPr>
        <w:t>hasta 120</w:t>
      </w:r>
      <w:r>
        <w:rPr>
          <w:rFonts w:ascii="Arial" w:hAnsi="Arial" w:cs="Arial"/>
        </w:rPr>
        <w:t xml:space="preserve"> </w:t>
      </w:r>
      <w:r w:rsidR="00A019A4">
        <w:rPr>
          <w:rFonts w:ascii="Arial" w:hAnsi="Arial" w:cs="Arial"/>
        </w:rPr>
        <w:t xml:space="preserve">días </w:t>
      </w:r>
      <w:r>
        <w:rPr>
          <w:rFonts w:ascii="Arial" w:hAnsi="Arial" w:cs="Arial"/>
        </w:rPr>
        <w:t>en promedio para</w:t>
      </w:r>
      <w:r w:rsidR="00A019A4">
        <w:rPr>
          <w:rFonts w:ascii="Arial" w:hAnsi="Arial" w:cs="Arial"/>
        </w:rPr>
        <w:t xml:space="preserve"> efectuar la reclamación. Por tanto, en el 2do trimestre se evaluará los resultados del primer trimestre conforme a lo previamente establecido. </w:t>
      </w:r>
    </w:p>
    <w:p w:rsidR="003821DD" w:rsidRDefault="008D0807" w:rsidP="001C64CB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1ACBB32" wp14:editId="6A96608D">
            <wp:extent cx="4467225" cy="2095500"/>
            <wp:effectExtent l="0" t="0" r="9525" b="0"/>
            <wp:docPr id="5" name="Gráfico 5">
              <a:extLst xmlns:a="http://schemas.openxmlformats.org/drawingml/2006/main">
                <a:ext uri="{FF2B5EF4-FFF2-40B4-BE49-F238E27FC236}">
                  <a16:creationId xmlns:a16="http://schemas.microsoft.com/office/drawing/2014/main" id="{FAB580C7-5210-4989-8D1C-5E6DC2F228F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C501A2" w:rsidRDefault="00AD6FAD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Las facturas pendientes por reclamar en el mes de</w:t>
      </w:r>
      <w:r w:rsidR="00DC3C00">
        <w:rPr>
          <w:rFonts w:ascii="Arial" w:hAnsi="Arial" w:cs="Arial"/>
        </w:rPr>
        <w:t xml:space="preserve"> abril</w:t>
      </w:r>
      <w:r>
        <w:rPr>
          <w:rFonts w:ascii="Arial" w:hAnsi="Arial" w:cs="Arial"/>
        </w:rPr>
        <w:t xml:space="preserve"> fueron</w:t>
      </w:r>
      <w:r w:rsidR="00A019A4">
        <w:rPr>
          <w:rFonts w:ascii="Arial" w:hAnsi="Arial" w:cs="Arial"/>
        </w:rPr>
        <w:t xml:space="preserve"> de </w:t>
      </w:r>
      <w:r w:rsidR="00DC3C00">
        <w:rPr>
          <w:rFonts w:ascii="Arial" w:hAnsi="Arial" w:cs="Arial"/>
        </w:rPr>
        <w:t>2</w:t>
      </w:r>
      <w:r w:rsidR="00C501A2">
        <w:rPr>
          <w:rFonts w:ascii="Arial" w:hAnsi="Arial" w:cs="Arial"/>
        </w:rPr>
        <w:t xml:space="preserve">% correspondiente a monto total facturado, en </w:t>
      </w:r>
      <w:r w:rsidR="00DC3C00">
        <w:rPr>
          <w:rFonts w:ascii="Arial" w:hAnsi="Arial" w:cs="Arial"/>
        </w:rPr>
        <w:t xml:space="preserve">mayo </w:t>
      </w:r>
      <w:r w:rsidR="00C501A2">
        <w:rPr>
          <w:rFonts w:ascii="Arial" w:hAnsi="Arial" w:cs="Arial"/>
        </w:rPr>
        <w:t xml:space="preserve">la cantidad de facturas pendiente </w:t>
      </w:r>
      <w:r w:rsidR="00DC3C00">
        <w:rPr>
          <w:rFonts w:ascii="Arial" w:hAnsi="Arial" w:cs="Arial"/>
        </w:rPr>
        <w:t>disminuyo</w:t>
      </w:r>
      <w:r w:rsidR="00C501A2">
        <w:rPr>
          <w:rFonts w:ascii="Arial" w:hAnsi="Arial" w:cs="Arial"/>
        </w:rPr>
        <w:t xml:space="preserve"> a un 1%, </w:t>
      </w:r>
      <w:r w:rsidR="00DC3C00">
        <w:rPr>
          <w:rFonts w:ascii="Arial" w:hAnsi="Arial" w:cs="Arial"/>
        </w:rPr>
        <w:t xml:space="preserve">y en junio fue de un 9%, </w:t>
      </w:r>
      <w:r w:rsidR="00C501A2">
        <w:rPr>
          <w:rFonts w:ascii="Arial" w:hAnsi="Arial" w:cs="Arial"/>
        </w:rPr>
        <w:t xml:space="preserve">esto de debió a que en el mes anterior existieron facturas que no se reclamaron </w:t>
      </w:r>
      <w:r w:rsidR="00994D95">
        <w:rPr>
          <w:rFonts w:ascii="Arial" w:hAnsi="Arial" w:cs="Arial"/>
        </w:rPr>
        <w:t>lo cual</w:t>
      </w:r>
      <w:r w:rsidR="00C501A2">
        <w:rPr>
          <w:rFonts w:ascii="Arial" w:hAnsi="Arial" w:cs="Arial"/>
        </w:rPr>
        <w:t xml:space="preserve"> pasaron a ser reclamadas en el mes de </w:t>
      </w:r>
      <w:r w:rsidR="00DC3C00">
        <w:rPr>
          <w:rFonts w:ascii="Arial" w:hAnsi="Arial" w:cs="Arial"/>
        </w:rPr>
        <w:t>junio</w:t>
      </w:r>
      <w:r w:rsidR="00C501A2">
        <w:rPr>
          <w:rFonts w:ascii="Arial" w:hAnsi="Arial" w:cs="Arial"/>
        </w:rPr>
        <w:t xml:space="preserve"> por tanto </w:t>
      </w:r>
      <w:r>
        <w:rPr>
          <w:rFonts w:ascii="Arial" w:hAnsi="Arial" w:cs="Arial"/>
        </w:rPr>
        <w:t>se</w:t>
      </w:r>
      <w:r w:rsidR="00C501A2">
        <w:rPr>
          <w:rFonts w:ascii="Arial" w:hAnsi="Arial" w:cs="Arial"/>
        </w:rPr>
        <w:t xml:space="preserve"> evidencia el aumento. </w:t>
      </w:r>
    </w:p>
    <w:p w:rsidR="00A019A4" w:rsidRDefault="00140DBA" w:rsidP="001C64CB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2C6CC24D" wp14:editId="6366C0AA">
            <wp:extent cx="3933825" cy="2247900"/>
            <wp:effectExtent l="0" t="0" r="9525" b="0"/>
            <wp:docPr id="6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E0FC8563-ECD8-42D2-B26E-E32B6F92044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AD6FAD" w:rsidRDefault="00242B45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consecuencia, al grafico anterior, el monto pendiente por reclamar en el mes de enero resultó de </w:t>
      </w:r>
      <w:bookmarkStart w:id="2" w:name="_Hlk524337374"/>
      <w:r w:rsidR="00DC3C00">
        <w:rPr>
          <w:rFonts w:ascii="Arial" w:hAnsi="Arial" w:cs="Arial"/>
        </w:rPr>
        <w:t>RD$</w:t>
      </w:r>
      <w:bookmarkEnd w:id="2"/>
      <w:r w:rsidR="00DC3C00">
        <w:rPr>
          <w:rFonts w:ascii="Arial" w:hAnsi="Arial" w:cs="Arial"/>
        </w:rPr>
        <w:t xml:space="preserve"> 280.00, </w:t>
      </w:r>
      <w:r>
        <w:rPr>
          <w:rFonts w:ascii="Arial" w:hAnsi="Arial" w:cs="Arial"/>
        </w:rPr>
        <w:t xml:space="preserve">en el siguiente mes el monto pendiente fue de </w:t>
      </w:r>
      <w:r w:rsidR="00DC3C00" w:rsidRPr="00DC3C00">
        <w:rPr>
          <w:rFonts w:ascii="Arial" w:hAnsi="Arial" w:cs="Arial"/>
        </w:rPr>
        <w:t>RD$</w:t>
      </w:r>
      <w:r w:rsidR="00DC3C00">
        <w:rPr>
          <w:rFonts w:ascii="Arial" w:hAnsi="Arial" w:cs="Arial"/>
        </w:rPr>
        <w:t xml:space="preserve"> 1,413.00. </w:t>
      </w:r>
      <w:r>
        <w:rPr>
          <w:rFonts w:ascii="Arial" w:hAnsi="Arial" w:cs="Arial"/>
        </w:rPr>
        <w:t xml:space="preserve">Para el mes de </w:t>
      </w:r>
      <w:r w:rsidR="00DC3C00">
        <w:rPr>
          <w:rFonts w:ascii="Arial" w:hAnsi="Arial" w:cs="Arial"/>
        </w:rPr>
        <w:t xml:space="preserve">junio </w:t>
      </w:r>
      <w:r>
        <w:rPr>
          <w:rFonts w:ascii="Arial" w:hAnsi="Arial" w:cs="Arial"/>
        </w:rPr>
        <w:t xml:space="preserve">el monto pendiente a reclamar </w:t>
      </w:r>
      <w:r w:rsidR="00DC3C00">
        <w:rPr>
          <w:rFonts w:ascii="Arial" w:hAnsi="Arial" w:cs="Arial"/>
        </w:rPr>
        <w:t>aumento</w:t>
      </w:r>
      <w:r>
        <w:rPr>
          <w:rFonts w:ascii="Arial" w:hAnsi="Arial" w:cs="Arial"/>
        </w:rPr>
        <w:t xml:space="preserve"> a </w:t>
      </w:r>
      <w:r w:rsidR="00DC3C00" w:rsidRPr="00DC3C00">
        <w:rPr>
          <w:rFonts w:ascii="Arial" w:hAnsi="Arial" w:cs="Arial"/>
        </w:rPr>
        <w:t>RD$</w:t>
      </w:r>
      <w:r w:rsidR="00DC3C00">
        <w:rPr>
          <w:rFonts w:ascii="Arial" w:hAnsi="Arial" w:cs="Arial"/>
        </w:rPr>
        <w:t>1,750.00</w:t>
      </w:r>
      <w:r>
        <w:rPr>
          <w:rFonts w:ascii="Arial" w:hAnsi="Arial" w:cs="Arial"/>
        </w:rPr>
        <w:t xml:space="preserve"> </w:t>
      </w:r>
      <w:r w:rsidR="00DC3C00" w:rsidRPr="00DC3C00">
        <w:rPr>
          <w:rFonts w:ascii="Arial" w:hAnsi="Arial" w:cs="Arial"/>
        </w:rPr>
        <w:t xml:space="preserve">este aumento significativo debe a las mismas causas previamente explicadas. </w:t>
      </w:r>
    </w:p>
    <w:p w:rsidR="00A019A4" w:rsidRDefault="00140DBA" w:rsidP="001C64CB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901CC61" wp14:editId="050A94F6">
            <wp:extent cx="4343400" cy="1876425"/>
            <wp:effectExtent l="0" t="0" r="0" b="9525"/>
            <wp:docPr id="9" name="Gráfico 9">
              <a:extLst xmlns:a="http://schemas.openxmlformats.org/drawingml/2006/main">
                <a:ext uri="{FF2B5EF4-FFF2-40B4-BE49-F238E27FC236}">
                  <a16:creationId xmlns:a16="http://schemas.microsoft.com/office/drawing/2014/main" id="{277C8973-3902-45D3-A9A7-AABBCF35597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212CBB" w:rsidRPr="00212CBB" w:rsidRDefault="00212CBB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plan de actualización de tarifarios del área de reclamación de seguros se ha cumplido satisfactoriamente en los meses correspondientes. </w:t>
      </w:r>
    </w:p>
    <w:p w:rsidR="006A0EDE" w:rsidRPr="00AD2B3C" w:rsidRDefault="006A0EDE" w:rsidP="00C12765">
      <w:pPr>
        <w:pStyle w:val="Prrafodelista"/>
        <w:numPr>
          <w:ilvl w:val="0"/>
          <w:numId w:val="4"/>
        </w:numPr>
        <w:jc w:val="both"/>
        <w:rPr>
          <w:rFonts w:ascii="Arial" w:hAnsi="Arial" w:cs="Arial"/>
        </w:rPr>
      </w:pPr>
      <w:r w:rsidRPr="00AD2B3C">
        <w:rPr>
          <w:rFonts w:ascii="Arial" w:hAnsi="Arial" w:cs="Arial"/>
          <w:b/>
        </w:rPr>
        <w:t>Activo fijo</w:t>
      </w:r>
    </w:p>
    <w:p w:rsidR="0042497B" w:rsidRPr="00AD2B3C" w:rsidRDefault="00DC3C00" w:rsidP="001C64CB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920C332" wp14:editId="2F843BC7">
            <wp:extent cx="3171825" cy="1885950"/>
            <wp:effectExtent l="0" t="0" r="9525" b="0"/>
            <wp:docPr id="16" name="Gráfico 16">
              <a:extLst xmlns:a="http://schemas.openxmlformats.org/drawingml/2006/main">
                <a:ext uri="{FF2B5EF4-FFF2-40B4-BE49-F238E27FC236}">
                  <a16:creationId xmlns:a16="http://schemas.microsoft.com/office/drawing/2014/main" id="{DE3B2A4E-E098-4E26-A783-B42A588F518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212CBB" w:rsidRDefault="00212CBB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El programa de carga y descarga de activos fijos en el sistema se ha efectuado en un 100% en los meses abril</w:t>
      </w:r>
      <w:r w:rsidR="00DC3C00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mayo</w:t>
      </w:r>
      <w:r w:rsidR="00DC3C00">
        <w:rPr>
          <w:rFonts w:ascii="Arial" w:hAnsi="Arial" w:cs="Arial"/>
        </w:rPr>
        <w:t xml:space="preserve"> y junio</w:t>
      </w:r>
      <w:r>
        <w:rPr>
          <w:rFonts w:ascii="Arial" w:hAnsi="Arial" w:cs="Arial"/>
        </w:rPr>
        <w:t xml:space="preserve">. </w:t>
      </w:r>
    </w:p>
    <w:p w:rsidR="00564A6A" w:rsidRDefault="00564A6A" w:rsidP="00C12765">
      <w:pPr>
        <w:jc w:val="both"/>
        <w:rPr>
          <w:rFonts w:ascii="Arial" w:hAnsi="Arial" w:cs="Arial"/>
        </w:rPr>
      </w:pPr>
    </w:p>
    <w:p w:rsidR="00564A6A" w:rsidRPr="00AD2B3C" w:rsidRDefault="006A0EDE" w:rsidP="00C12765">
      <w:pPr>
        <w:jc w:val="both"/>
        <w:rPr>
          <w:rFonts w:ascii="Arial" w:hAnsi="Arial" w:cs="Arial"/>
          <w:b/>
          <w:u w:val="single"/>
        </w:rPr>
      </w:pPr>
      <w:r w:rsidRPr="00AD2B3C">
        <w:rPr>
          <w:rFonts w:ascii="Arial" w:hAnsi="Arial" w:cs="Arial"/>
          <w:b/>
          <w:u w:val="single"/>
        </w:rPr>
        <w:lastRenderedPageBreak/>
        <w:t>Dirección General</w:t>
      </w:r>
    </w:p>
    <w:p w:rsidR="008C0D1E" w:rsidRPr="0040244E" w:rsidRDefault="006A0EDE" w:rsidP="00C12765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u w:val="single"/>
        </w:rPr>
      </w:pPr>
      <w:r w:rsidRPr="00AD2B3C">
        <w:rPr>
          <w:rFonts w:ascii="Arial" w:hAnsi="Arial" w:cs="Arial"/>
          <w:b/>
        </w:rPr>
        <w:t>Seguridad</w:t>
      </w:r>
    </w:p>
    <w:p w:rsidR="00B34633" w:rsidRDefault="00EE533D" w:rsidP="001C64CB">
      <w:pPr>
        <w:jc w:val="center"/>
        <w:rPr>
          <w:rFonts w:ascii="Arial" w:hAnsi="Arial" w:cs="Arial"/>
          <w:b/>
          <w:u w:val="single"/>
        </w:rPr>
      </w:pPr>
      <w:r>
        <w:rPr>
          <w:noProof/>
        </w:rPr>
        <w:drawing>
          <wp:inline distT="0" distB="0" distL="0" distR="0" wp14:anchorId="651480D4" wp14:editId="1DD65689">
            <wp:extent cx="3371850" cy="2469600"/>
            <wp:effectExtent l="0" t="0" r="0" b="6985"/>
            <wp:docPr id="36" name="Gráfico 36">
              <a:extLst xmlns:a="http://schemas.openxmlformats.org/drawingml/2006/main">
                <a:ext uri="{FF2B5EF4-FFF2-40B4-BE49-F238E27FC236}">
                  <a16:creationId xmlns:a16="http://schemas.microsoft.com/office/drawing/2014/main" id="{56BBB260-D6AA-4132-9158-FD5A26E5F94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:rsidR="004D1C72" w:rsidRPr="00B34633" w:rsidRDefault="00B34633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mes de abril, la cantidad de carnet a empleados de nuevo ingreso </w:t>
      </w:r>
      <w:r w:rsidR="004D1C72">
        <w:rPr>
          <w:rFonts w:ascii="Arial" w:hAnsi="Arial" w:cs="Arial"/>
        </w:rPr>
        <w:t>emitidos fue superior al solicitado debido a un cumulo de impresiones solicitadas por retraso de suministros de insumos para realizar la actividad. Para el mes de mayo, la emisión de carnet se realizó en un 79</w:t>
      </w:r>
      <w:r w:rsidR="004F6CD2">
        <w:rPr>
          <w:rFonts w:ascii="Arial" w:hAnsi="Arial" w:cs="Arial"/>
        </w:rPr>
        <w:t>% no cumpliendo así la meta establecida.</w:t>
      </w:r>
      <w:r w:rsidR="00CF303E" w:rsidRPr="00CF303E">
        <w:rPr>
          <w:rFonts w:ascii="Arial" w:hAnsi="Arial" w:cs="Arial"/>
        </w:rPr>
        <w:t xml:space="preserve"> Correspondiente</w:t>
      </w:r>
      <w:r w:rsidR="00CF303E">
        <w:rPr>
          <w:rFonts w:ascii="Arial" w:hAnsi="Arial" w:cs="Arial"/>
        </w:rPr>
        <w:t xml:space="preserve"> </w:t>
      </w:r>
      <w:r w:rsidR="00CF303E" w:rsidRPr="00CF303E">
        <w:rPr>
          <w:rFonts w:ascii="Arial" w:hAnsi="Arial" w:cs="Arial"/>
        </w:rPr>
        <w:t>a</w:t>
      </w:r>
      <w:r w:rsidR="00CF303E">
        <w:rPr>
          <w:rFonts w:ascii="Arial" w:hAnsi="Arial" w:cs="Arial"/>
        </w:rPr>
        <w:t xml:space="preserve"> junio no se</w:t>
      </w:r>
      <w:r w:rsidR="00CF303E" w:rsidRPr="00CF303E">
        <w:t xml:space="preserve"> </w:t>
      </w:r>
      <w:r w:rsidR="00CF303E" w:rsidRPr="00CF303E">
        <w:rPr>
          <w:rFonts w:ascii="Arial" w:hAnsi="Arial" w:cs="Arial"/>
        </w:rPr>
        <w:t>ha suministrado dato alguno</w:t>
      </w:r>
      <w:r w:rsidR="00CF303E">
        <w:rPr>
          <w:rFonts w:ascii="Arial" w:hAnsi="Arial" w:cs="Arial"/>
        </w:rPr>
        <w:t>.</w:t>
      </w:r>
    </w:p>
    <w:p w:rsidR="006A0EDE" w:rsidRDefault="006A0EDE" w:rsidP="00C12765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</w:rPr>
      </w:pPr>
      <w:r w:rsidRPr="0040244E">
        <w:rPr>
          <w:rFonts w:ascii="Arial" w:hAnsi="Arial" w:cs="Arial"/>
          <w:b/>
        </w:rPr>
        <w:t xml:space="preserve">Oficina de Acceso a la </w:t>
      </w:r>
      <w:r w:rsidR="000B2DF2">
        <w:rPr>
          <w:rFonts w:ascii="Arial" w:hAnsi="Arial" w:cs="Arial"/>
          <w:b/>
        </w:rPr>
        <w:t>I</w:t>
      </w:r>
      <w:r w:rsidRPr="0040244E">
        <w:rPr>
          <w:rFonts w:ascii="Arial" w:hAnsi="Arial" w:cs="Arial"/>
          <w:b/>
        </w:rPr>
        <w:t xml:space="preserve">nformación </w:t>
      </w:r>
    </w:p>
    <w:p w:rsidR="004F6CD2" w:rsidRDefault="00140DBA" w:rsidP="001C64CB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73981141" wp14:editId="05DCE35E">
            <wp:extent cx="3457575" cy="2466975"/>
            <wp:effectExtent l="0" t="0" r="9525" b="9525"/>
            <wp:docPr id="10" name="Gráfico 10">
              <a:extLst xmlns:a="http://schemas.openxmlformats.org/drawingml/2006/main">
                <a:ext uri="{FF2B5EF4-FFF2-40B4-BE49-F238E27FC236}">
                  <a16:creationId xmlns:a16="http://schemas.microsoft.com/office/drawing/2014/main" id="{94296F75-DA9E-4D5B-9E1F-E56CD9D4991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42497B" w:rsidRDefault="009458E3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</w:t>
      </w:r>
      <w:r w:rsidR="00140DBA">
        <w:rPr>
          <w:rFonts w:ascii="Arial" w:hAnsi="Arial" w:cs="Arial"/>
        </w:rPr>
        <w:t>el trimestres</w:t>
      </w:r>
      <w:r>
        <w:rPr>
          <w:rFonts w:ascii="Arial" w:hAnsi="Arial" w:cs="Arial"/>
        </w:rPr>
        <w:t xml:space="preserve">, no se registraron solicitudes de acceso a la información. La actualización del portal de transparencia se realizo efectivamente en el tiempo correspondido cumpliendo así en un 100% la meta establecida. </w:t>
      </w:r>
    </w:p>
    <w:p w:rsidR="00C51F37" w:rsidRDefault="00C51F37" w:rsidP="00C12765">
      <w:pPr>
        <w:jc w:val="both"/>
        <w:rPr>
          <w:rFonts w:ascii="Arial" w:hAnsi="Arial" w:cs="Arial"/>
        </w:rPr>
      </w:pPr>
    </w:p>
    <w:p w:rsidR="00C51F37" w:rsidRDefault="00C51F37" w:rsidP="00C12765">
      <w:pPr>
        <w:jc w:val="both"/>
        <w:rPr>
          <w:rFonts w:ascii="Arial" w:hAnsi="Arial" w:cs="Arial"/>
        </w:rPr>
      </w:pPr>
    </w:p>
    <w:p w:rsidR="00C51F37" w:rsidRPr="009458E3" w:rsidRDefault="00C51F37" w:rsidP="00C12765">
      <w:pPr>
        <w:jc w:val="both"/>
        <w:rPr>
          <w:rFonts w:ascii="Arial" w:hAnsi="Arial" w:cs="Arial"/>
        </w:rPr>
      </w:pPr>
    </w:p>
    <w:p w:rsidR="0068115F" w:rsidRPr="0040244E" w:rsidRDefault="006A0EDE" w:rsidP="00C12765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</w:rPr>
      </w:pPr>
      <w:r w:rsidRPr="0040244E">
        <w:rPr>
          <w:rFonts w:ascii="Arial" w:hAnsi="Arial" w:cs="Arial"/>
          <w:b/>
        </w:rPr>
        <w:lastRenderedPageBreak/>
        <w:t xml:space="preserve">Prensa y Relaciones publicas </w:t>
      </w:r>
    </w:p>
    <w:p w:rsidR="00564A6A" w:rsidRDefault="00E6085F" w:rsidP="00C12765">
      <w:pPr>
        <w:jc w:val="both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3C443269" wp14:editId="2CBA661D">
            <wp:extent cx="4517572" cy="2471738"/>
            <wp:effectExtent l="0" t="0" r="16510" b="5080"/>
            <wp:docPr id="18" name="Gráfico 18">
              <a:extLst xmlns:a="http://schemas.openxmlformats.org/drawingml/2006/main">
                <a:ext uri="{FF2B5EF4-FFF2-40B4-BE49-F238E27FC236}">
                  <a16:creationId xmlns:a16="http://schemas.microsoft.com/office/drawing/2014/main" id="{E866D141-EE7F-49F9-A788-1E0595CDCF8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564A6A" w:rsidRPr="00212CBB" w:rsidRDefault="00564A6A" w:rsidP="00C12765">
      <w:pPr>
        <w:jc w:val="both"/>
        <w:rPr>
          <w:rFonts w:ascii="Arial" w:hAnsi="Arial" w:cs="Arial"/>
        </w:rPr>
      </w:pPr>
    </w:p>
    <w:p w:rsidR="006A0EDE" w:rsidRPr="0040244E" w:rsidRDefault="0087653A" w:rsidP="00C12765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</w:rPr>
      </w:pPr>
      <w:r w:rsidRPr="0040244E">
        <w:rPr>
          <w:rFonts w:ascii="Arial" w:hAnsi="Arial" w:cs="Arial"/>
          <w:b/>
        </w:rPr>
        <w:t>Atención</w:t>
      </w:r>
      <w:r w:rsidR="006A0EDE" w:rsidRPr="0040244E">
        <w:rPr>
          <w:rFonts w:ascii="Arial" w:hAnsi="Arial" w:cs="Arial"/>
          <w:b/>
        </w:rPr>
        <w:t xml:space="preserve"> al Usuario</w:t>
      </w:r>
    </w:p>
    <w:p w:rsidR="0068115F" w:rsidRDefault="005062A8" w:rsidP="001C64CB">
      <w:pPr>
        <w:ind w:left="360"/>
        <w:jc w:val="center"/>
        <w:rPr>
          <w:rFonts w:ascii="Arial" w:hAnsi="Arial" w:cs="Arial"/>
          <w:b/>
          <w:u w:val="single"/>
        </w:rPr>
      </w:pPr>
      <w:r>
        <w:rPr>
          <w:noProof/>
        </w:rPr>
        <w:drawing>
          <wp:inline distT="0" distB="0" distL="0" distR="0" wp14:anchorId="38FF914F" wp14:editId="374ED294">
            <wp:extent cx="4226398" cy="2407824"/>
            <wp:effectExtent l="0" t="0" r="3175" b="12065"/>
            <wp:docPr id="22" name="Gráfico 22">
              <a:extLst xmlns:a="http://schemas.openxmlformats.org/drawingml/2006/main">
                <a:ext uri="{FF2B5EF4-FFF2-40B4-BE49-F238E27FC236}">
                  <a16:creationId xmlns:a16="http://schemas.microsoft.com/office/drawing/2014/main" id="{7ACC8DAA-6EFF-498A-B5DC-9E064C2CF8F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635881" w:rsidRPr="00AD2B3C" w:rsidRDefault="00635881" w:rsidP="001C64CB">
      <w:pPr>
        <w:ind w:left="360"/>
        <w:jc w:val="center"/>
        <w:rPr>
          <w:rFonts w:ascii="Arial" w:hAnsi="Arial" w:cs="Arial"/>
          <w:b/>
          <w:u w:val="single"/>
        </w:rPr>
      </w:pPr>
    </w:p>
    <w:p w:rsidR="005062A8" w:rsidRDefault="0068115F" w:rsidP="005062A8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 xml:space="preserve">En el primer mes del trimestre abril-junio, se evidencia que no se cumplió con la meta establecida de que el 95% de las llamadas recibidas deben ser atendidas, obteniendo como resultado un 63% del total de llamadas atendidas con respecto a las recibidas en el mes.  </w:t>
      </w:r>
      <w:r w:rsidR="00121533">
        <w:rPr>
          <w:rFonts w:ascii="Arial" w:hAnsi="Arial" w:cs="Arial"/>
        </w:rPr>
        <w:t>En mayo, esta cifra aumento a 71% lo cual se muestra como un aumento significativo. En ambos meses no se cumplió con la meta establecida de 95%.</w:t>
      </w:r>
    </w:p>
    <w:p w:rsidR="0068115F" w:rsidRPr="00AD2B3C" w:rsidRDefault="005062A8" w:rsidP="005062A8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3B36A3F7" wp14:editId="3A3CFC25">
            <wp:extent cx="4348991" cy="2366964"/>
            <wp:effectExtent l="0" t="0" r="13970" b="14605"/>
            <wp:docPr id="13" name="Gráfico 13">
              <a:extLst xmlns:a="http://schemas.openxmlformats.org/drawingml/2006/main">
                <a:ext uri="{FF2B5EF4-FFF2-40B4-BE49-F238E27FC236}">
                  <a16:creationId xmlns:a16="http://schemas.microsoft.com/office/drawing/2014/main" id="{4E6021EC-73AD-4CF9-AC79-F9EFB60143C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:rsidR="0068115F" w:rsidRDefault="0068115F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>Se evidencia que el 41% del total de citas programadas durante el mes de abril fueron anuladas en el sistema</w:t>
      </w:r>
      <w:r w:rsidR="00A3277B">
        <w:rPr>
          <w:rFonts w:ascii="Arial" w:hAnsi="Arial" w:cs="Arial"/>
        </w:rPr>
        <w:t xml:space="preserve">, esta cifra ascendió a un 42% en el mes de mayo </w:t>
      </w:r>
      <w:r w:rsidRPr="00AD2B3C">
        <w:rPr>
          <w:rFonts w:ascii="Arial" w:hAnsi="Arial" w:cs="Arial"/>
        </w:rPr>
        <w:t>no cumpliendo con la meta establecida menor a 10%.</w:t>
      </w:r>
    </w:p>
    <w:p w:rsidR="00A3277B" w:rsidRDefault="00A3277B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porcentaje de esas citas están siendo canceladas por causas del medico </w:t>
      </w:r>
      <w:r w:rsidR="0043428B">
        <w:rPr>
          <w:rFonts w:ascii="Arial" w:hAnsi="Arial" w:cs="Arial"/>
        </w:rPr>
        <w:t xml:space="preserve">y/o factores propios del usuario, donde la mayor incidencia es a causa de los usuarios. En el caso de los médicos esta se debe a vacaciones, post-guardia medica e inasistencia. </w:t>
      </w:r>
    </w:p>
    <w:p w:rsidR="003928F6" w:rsidRDefault="003928F6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Las cifras de las citas canceladas se muestran alteradas debido a un mal registro de las mismas, esto se debe a que si el medico no asistió, y el paciente es atendido por otro médico o la cita le es reprogramada, tanto el sistema o la persona encargada de velar por el registro de esas citas automáticamente las pone como canceladas en vez de ser atribuidas a reprogramadas. </w:t>
      </w:r>
    </w:p>
    <w:p w:rsidR="0068115F" w:rsidRPr="00AD2B3C" w:rsidRDefault="00121DF2" w:rsidP="001C64CB">
      <w:pPr>
        <w:jc w:val="center"/>
        <w:rPr>
          <w:rFonts w:ascii="Arial" w:hAnsi="Arial" w:cs="Arial"/>
          <w:b/>
          <w:u w:val="single"/>
        </w:rPr>
      </w:pPr>
      <w:r>
        <w:rPr>
          <w:noProof/>
        </w:rPr>
        <w:drawing>
          <wp:inline distT="0" distB="0" distL="0" distR="0" wp14:anchorId="3E37C02A" wp14:editId="350F5A77">
            <wp:extent cx="4857750" cy="2658110"/>
            <wp:effectExtent l="0" t="0" r="0" b="8890"/>
            <wp:docPr id="12" name="Gráfico 12">
              <a:extLst xmlns:a="http://schemas.openxmlformats.org/drawingml/2006/main">
                <a:ext uri="{FF2B5EF4-FFF2-40B4-BE49-F238E27FC236}">
                  <a16:creationId xmlns:a16="http://schemas.microsoft.com/office/drawing/2014/main" id="{E5C173C4-44C0-462A-A99D-B11BC0E416C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p w:rsidR="0043428B" w:rsidRDefault="0068115F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>Con respecto a la verificación de citas, se observa que</w:t>
      </w:r>
      <w:r w:rsidR="002B79F7" w:rsidRPr="00AD2B3C">
        <w:rPr>
          <w:rFonts w:ascii="Arial" w:hAnsi="Arial" w:cs="Arial"/>
        </w:rPr>
        <w:t xml:space="preserve"> solo se ha verificado, reprogramado e informado a los </w:t>
      </w:r>
      <w:r w:rsidR="0043428B" w:rsidRPr="00AD2B3C">
        <w:rPr>
          <w:rFonts w:ascii="Arial" w:hAnsi="Arial" w:cs="Arial"/>
        </w:rPr>
        <w:t>usuarios en</w:t>
      </w:r>
      <w:r w:rsidR="00DD405C">
        <w:rPr>
          <w:rFonts w:ascii="Arial" w:hAnsi="Arial" w:cs="Arial"/>
        </w:rPr>
        <w:t xml:space="preserve"> un</w:t>
      </w:r>
      <w:r w:rsidR="002B79F7" w:rsidRPr="00AD2B3C">
        <w:rPr>
          <w:rFonts w:ascii="Arial" w:hAnsi="Arial" w:cs="Arial"/>
        </w:rPr>
        <w:t xml:space="preserve"> 1% del total de citas programadas</w:t>
      </w:r>
      <w:r w:rsidR="0043428B">
        <w:rPr>
          <w:rFonts w:ascii="Arial" w:hAnsi="Arial" w:cs="Arial"/>
        </w:rPr>
        <w:t xml:space="preserve"> en los meses abril y mayo</w:t>
      </w:r>
      <w:r w:rsidR="003928F6">
        <w:rPr>
          <w:rFonts w:ascii="Arial" w:hAnsi="Arial" w:cs="Arial"/>
        </w:rPr>
        <w:t xml:space="preserve">. </w:t>
      </w:r>
    </w:p>
    <w:p w:rsidR="003928F6" w:rsidRPr="00AD2B3C" w:rsidRDefault="003928F6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Estas cifras se deben a un mal registro en el sistema, previamente planteado. </w:t>
      </w:r>
    </w:p>
    <w:p w:rsidR="006A0EDE" w:rsidRPr="00AD2B3C" w:rsidRDefault="006A0EDE" w:rsidP="00C12765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u w:val="single"/>
        </w:rPr>
      </w:pPr>
      <w:r w:rsidRPr="00AD2B3C">
        <w:rPr>
          <w:rFonts w:ascii="Arial" w:hAnsi="Arial" w:cs="Arial"/>
          <w:b/>
          <w:u w:val="single"/>
        </w:rPr>
        <w:lastRenderedPageBreak/>
        <w:t>Servicio Social</w:t>
      </w:r>
    </w:p>
    <w:p w:rsidR="0068115F" w:rsidRPr="00AD2B3C" w:rsidRDefault="006F2033" w:rsidP="00564A6A">
      <w:pPr>
        <w:jc w:val="center"/>
        <w:rPr>
          <w:rFonts w:ascii="Arial" w:hAnsi="Arial" w:cs="Arial"/>
          <w:b/>
          <w:u w:val="single"/>
        </w:rPr>
      </w:pPr>
      <w:r>
        <w:rPr>
          <w:noProof/>
        </w:rPr>
        <w:drawing>
          <wp:inline distT="0" distB="0" distL="0" distR="0" wp14:anchorId="580F599E" wp14:editId="4679BB8D">
            <wp:extent cx="3819525" cy="3448050"/>
            <wp:effectExtent l="0" t="0" r="9525" b="0"/>
            <wp:docPr id="24" name="Gráfico 24">
              <a:extLst xmlns:a="http://schemas.openxmlformats.org/drawingml/2006/main">
                <a:ext uri="{FF2B5EF4-FFF2-40B4-BE49-F238E27FC236}">
                  <a16:creationId xmlns:a16="http://schemas.microsoft.com/office/drawing/2014/main" id="{4403F3FE-B606-4CBA-995D-49D18ECEBD6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</w:p>
    <w:p w:rsidR="00564A6A" w:rsidRDefault="00304BF5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Durante el mes de abril, el porcentaje de verificaciones socioeconómicas con respecto al total de hospitalizaciones privadas obtuvo un resultado de 23%</w:t>
      </w:r>
      <w:r w:rsidR="00A5445F">
        <w:rPr>
          <w:rFonts w:ascii="Arial" w:hAnsi="Arial" w:cs="Arial"/>
        </w:rPr>
        <w:t xml:space="preserve">, esta cifra no cumple con la meta de 100% establecida. En el mes de mayo, los datos no han sido remitidos en su totalidad. </w:t>
      </w:r>
    </w:p>
    <w:p w:rsidR="00A5445F" w:rsidRPr="00A5445F" w:rsidRDefault="00A5445F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respecto al porcentaje de usuarios remitidos a afiliación de Senasa no se han suministrado los datos precisos para su análisis. </w:t>
      </w:r>
    </w:p>
    <w:p w:rsidR="006A0EDE" w:rsidRPr="00AD2B3C" w:rsidRDefault="0087653A" w:rsidP="00C12765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u w:val="single"/>
        </w:rPr>
      </w:pPr>
      <w:r w:rsidRPr="00AD2B3C">
        <w:rPr>
          <w:rFonts w:ascii="Arial" w:hAnsi="Arial" w:cs="Arial"/>
          <w:b/>
          <w:u w:val="single"/>
        </w:rPr>
        <w:t>Tecnología</w:t>
      </w:r>
      <w:r w:rsidR="006A0EDE" w:rsidRPr="00AD2B3C">
        <w:rPr>
          <w:rFonts w:ascii="Arial" w:hAnsi="Arial" w:cs="Arial"/>
          <w:b/>
          <w:u w:val="single"/>
        </w:rPr>
        <w:t xml:space="preserve"> de la información </w:t>
      </w:r>
    </w:p>
    <w:p w:rsidR="00A20B32" w:rsidRPr="00AD2B3C" w:rsidRDefault="00F47A81" w:rsidP="00564A6A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10A43E55" wp14:editId="4E11D9F9">
            <wp:extent cx="3366000" cy="2469600"/>
            <wp:effectExtent l="0" t="0" r="6350" b="6985"/>
            <wp:docPr id="42" name="Gráfico 42">
              <a:extLst xmlns:a="http://schemas.openxmlformats.org/drawingml/2006/main">
                <a:ext uri="{FF2B5EF4-FFF2-40B4-BE49-F238E27FC236}">
                  <a16:creationId xmlns:a16="http://schemas.microsoft.com/office/drawing/2014/main" id="{B7A3EB12-6925-47F8-A0C4-92ACDA627FF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</w:p>
    <w:p w:rsidR="00630AFE" w:rsidRPr="00AD2B3C" w:rsidRDefault="00EF4ACF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 xml:space="preserve">Según los datos suministrados por el departamento de Tecnología de la información, en el mes de abril se obtuvo un 6% de equipos no funcionales u operativos fuera de servicio respecto al total disponibles en la institución, lo cual indica que no cumplió con la meta </w:t>
      </w:r>
      <w:r w:rsidRPr="00AD2B3C">
        <w:rPr>
          <w:rFonts w:ascii="Arial" w:hAnsi="Arial" w:cs="Arial"/>
        </w:rPr>
        <w:lastRenderedPageBreak/>
        <w:t xml:space="preserve">establecida de 0%. </w:t>
      </w:r>
      <w:r w:rsidR="00F47A81">
        <w:rPr>
          <w:rFonts w:ascii="Arial" w:hAnsi="Arial" w:cs="Arial"/>
        </w:rPr>
        <w:t xml:space="preserve"> En el mes de mayo, no se ha suministrado los datos correspondientes. </w:t>
      </w:r>
    </w:p>
    <w:p w:rsidR="00630AFE" w:rsidRPr="00AD2B3C" w:rsidRDefault="00F47A81" w:rsidP="00564A6A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B6563EB" wp14:editId="182A4CA3">
            <wp:extent cx="3783600" cy="2656800"/>
            <wp:effectExtent l="0" t="0" r="7620" b="10795"/>
            <wp:docPr id="43" name="Gráfico 43">
              <a:extLst xmlns:a="http://schemas.openxmlformats.org/drawingml/2006/main">
                <a:ext uri="{FF2B5EF4-FFF2-40B4-BE49-F238E27FC236}">
                  <a16:creationId xmlns:a16="http://schemas.microsoft.com/office/drawing/2014/main" id="{9555AD70-807D-4222-A627-3CEE84DE913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</w:p>
    <w:p w:rsidR="00630AFE" w:rsidRPr="00AD2B3C" w:rsidRDefault="00EF4ACF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>Por otro lado, los equipos TIC estuvieron en funcionamiento en un 94% durante el mes de abri</w:t>
      </w:r>
      <w:r w:rsidR="00F47A81">
        <w:rPr>
          <w:rFonts w:ascii="Arial" w:hAnsi="Arial" w:cs="Arial"/>
        </w:rPr>
        <w:t>l</w:t>
      </w:r>
      <w:r w:rsidR="00562AB0">
        <w:rPr>
          <w:rFonts w:ascii="Arial" w:hAnsi="Arial" w:cs="Arial"/>
        </w:rPr>
        <w:t xml:space="preserve">. Los equipos fuera de servicio representan un 6% en los cuales se encuentran dos computadoras, cinco impresoras, un punto de venta y un matricial. </w:t>
      </w:r>
    </w:p>
    <w:p w:rsidR="00EF4ACF" w:rsidRDefault="00EF4ACF" w:rsidP="00C12765">
      <w:pPr>
        <w:jc w:val="both"/>
        <w:rPr>
          <w:rFonts w:ascii="Arial" w:hAnsi="Arial" w:cs="Arial"/>
        </w:rPr>
      </w:pPr>
      <w:r w:rsidRPr="00AD2B3C">
        <w:rPr>
          <w:rFonts w:ascii="Arial" w:hAnsi="Arial" w:cs="Arial"/>
        </w:rPr>
        <w:t>El 100% de los tickets generados en el sistema recibieron atención y fueron cerrados respectivamente, superando así la meta establecida de 98%. Por igual, el plan de mantenimiento de los equipos f</w:t>
      </w:r>
      <w:r w:rsidR="00806157" w:rsidRPr="00AD2B3C">
        <w:rPr>
          <w:rFonts w:ascii="Arial" w:hAnsi="Arial" w:cs="Arial"/>
        </w:rPr>
        <w:t xml:space="preserve">ue ejecutado en su totalidad y todas las publicaciones que requerían ser soportadas a la Web o Intranet fueron colocadas a tiempo. </w:t>
      </w:r>
    </w:p>
    <w:p w:rsidR="00562AB0" w:rsidRPr="00AD2B3C" w:rsidRDefault="00562AB0" w:rsidP="00C127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referencia al mes de mayo, no se ha suministrado dato alguno. </w:t>
      </w:r>
    </w:p>
    <w:sectPr w:rsidR="00562AB0" w:rsidRPr="00AD2B3C" w:rsidSect="00AD2B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032F" w:rsidRDefault="000C032F" w:rsidP="00AD2B3C">
      <w:pPr>
        <w:spacing w:after="0" w:line="240" w:lineRule="auto"/>
      </w:pPr>
      <w:r>
        <w:separator/>
      </w:r>
    </w:p>
  </w:endnote>
  <w:endnote w:type="continuationSeparator" w:id="0">
    <w:p w:rsidR="000C032F" w:rsidRDefault="000C032F" w:rsidP="00AD2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032F" w:rsidRDefault="000C032F" w:rsidP="00AD2B3C">
      <w:pPr>
        <w:spacing w:after="0" w:line="240" w:lineRule="auto"/>
      </w:pPr>
      <w:r>
        <w:separator/>
      </w:r>
    </w:p>
  </w:footnote>
  <w:footnote w:type="continuationSeparator" w:id="0">
    <w:p w:rsidR="000C032F" w:rsidRDefault="000C032F" w:rsidP="00AD2B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F0577"/>
    <w:multiLevelType w:val="hybridMultilevel"/>
    <w:tmpl w:val="8C7A8D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47828"/>
    <w:multiLevelType w:val="hybridMultilevel"/>
    <w:tmpl w:val="B4965D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0F1386"/>
    <w:multiLevelType w:val="hybridMultilevel"/>
    <w:tmpl w:val="1234CA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287D64"/>
    <w:multiLevelType w:val="hybridMultilevel"/>
    <w:tmpl w:val="CCE87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5805A9"/>
    <w:multiLevelType w:val="hybridMultilevel"/>
    <w:tmpl w:val="2710FA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0860FA"/>
    <w:multiLevelType w:val="hybridMultilevel"/>
    <w:tmpl w:val="620A90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D6F"/>
    <w:rsid w:val="000268A1"/>
    <w:rsid w:val="00031C50"/>
    <w:rsid w:val="00061427"/>
    <w:rsid w:val="000A12B0"/>
    <w:rsid w:val="000B2DF2"/>
    <w:rsid w:val="000C032F"/>
    <w:rsid w:val="00104E42"/>
    <w:rsid w:val="00104FF3"/>
    <w:rsid w:val="00121533"/>
    <w:rsid w:val="00121DF2"/>
    <w:rsid w:val="00122CCB"/>
    <w:rsid w:val="00140DBA"/>
    <w:rsid w:val="00152F49"/>
    <w:rsid w:val="00171406"/>
    <w:rsid w:val="001A36C2"/>
    <w:rsid w:val="001C64CB"/>
    <w:rsid w:val="002003F4"/>
    <w:rsid w:val="002060CB"/>
    <w:rsid w:val="00212CBB"/>
    <w:rsid w:val="00217DB6"/>
    <w:rsid w:val="00242B45"/>
    <w:rsid w:val="00245363"/>
    <w:rsid w:val="00260462"/>
    <w:rsid w:val="002B01BF"/>
    <w:rsid w:val="002B79F7"/>
    <w:rsid w:val="002F3A8F"/>
    <w:rsid w:val="00304BF5"/>
    <w:rsid w:val="003162C6"/>
    <w:rsid w:val="00325A70"/>
    <w:rsid w:val="003633EE"/>
    <w:rsid w:val="00371D34"/>
    <w:rsid w:val="00380271"/>
    <w:rsid w:val="003821DD"/>
    <w:rsid w:val="003928F6"/>
    <w:rsid w:val="003C5DAA"/>
    <w:rsid w:val="0040244E"/>
    <w:rsid w:val="0042497B"/>
    <w:rsid w:val="00424D7E"/>
    <w:rsid w:val="00425497"/>
    <w:rsid w:val="0043428B"/>
    <w:rsid w:val="0044478C"/>
    <w:rsid w:val="004B1038"/>
    <w:rsid w:val="004D1C72"/>
    <w:rsid w:val="004E6649"/>
    <w:rsid w:val="004F6CD2"/>
    <w:rsid w:val="005062A8"/>
    <w:rsid w:val="00541962"/>
    <w:rsid w:val="00562AB0"/>
    <w:rsid w:val="00564A6A"/>
    <w:rsid w:val="00590BC5"/>
    <w:rsid w:val="00591D6F"/>
    <w:rsid w:val="005A3D48"/>
    <w:rsid w:val="005B34BF"/>
    <w:rsid w:val="005E7B95"/>
    <w:rsid w:val="00600790"/>
    <w:rsid w:val="00630AFE"/>
    <w:rsid w:val="00635881"/>
    <w:rsid w:val="00675F15"/>
    <w:rsid w:val="0068115F"/>
    <w:rsid w:val="006A0EDE"/>
    <w:rsid w:val="006B3915"/>
    <w:rsid w:val="006F2033"/>
    <w:rsid w:val="00716991"/>
    <w:rsid w:val="0075246D"/>
    <w:rsid w:val="00765064"/>
    <w:rsid w:val="007C1F84"/>
    <w:rsid w:val="008047EB"/>
    <w:rsid w:val="00806157"/>
    <w:rsid w:val="008335A2"/>
    <w:rsid w:val="0087653A"/>
    <w:rsid w:val="0087737E"/>
    <w:rsid w:val="008B0527"/>
    <w:rsid w:val="008B35F4"/>
    <w:rsid w:val="008C0D1E"/>
    <w:rsid w:val="008D0807"/>
    <w:rsid w:val="008F6C6F"/>
    <w:rsid w:val="00940459"/>
    <w:rsid w:val="009458E3"/>
    <w:rsid w:val="009523CC"/>
    <w:rsid w:val="009829DE"/>
    <w:rsid w:val="00994D95"/>
    <w:rsid w:val="009A44E9"/>
    <w:rsid w:val="009D1419"/>
    <w:rsid w:val="009D297E"/>
    <w:rsid w:val="009F0F43"/>
    <w:rsid w:val="009F7D08"/>
    <w:rsid w:val="00A019A4"/>
    <w:rsid w:val="00A176C6"/>
    <w:rsid w:val="00A20B32"/>
    <w:rsid w:val="00A3277B"/>
    <w:rsid w:val="00A459F1"/>
    <w:rsid w:val="00A5445F"/>
    <w:rsid w:val="00A6515D"/>
    <w:rsid w:val="00A70F6A"/>
    <w:rsid w:val="00A748CE"/>
    <w:rsid w:val="00A7589B"/>
    <w:rsid w:val="00A86C5E"/>
    <w:rsid w:val="00AB3F2A"/>
    <w:rsid w:val="00AC69AD"/>
    <w:rsid w:val="00AD2B3C"/>
    <w:rsid w:val="00AD4D09"/>
    <w:rsid w:val="00AD6FAD"/>
    <w:rsid w:val="00AE21DE"/>
    <w:rsid w:val="00AF0C3B"/>
    <w:rsid w:val="00AF7799"/>
    <w:rsid w:val="00B20DD2"/>
    <w:rsid w:val="00B20FFD"/>
    <w:rsid w:val="00B34633"/>
    <w:rsid w:val="00B522F6"/>
    <w:rsid w:val="00B80ABA"/>
    <w:rsid w:val="00B82E05"/>
    <w:rsid w:val="00B84F37"/>
    <w:rsid w:val="00BB615F"/>
    <w:rsid w:val="00BF519B"/>
    <w:rsid w:val="00C12765"/>
    <w:rsid w:val="00C318CF"/>
    <w:rsid w:val="00C35D8F"/>
    <w:rsid w:val="00C501A2"/>
    <w:rsid w:val="00C51F37"/>
    <w:rsid w:val="00C52670"/>
    <w:rsid w:val="00C60694"/>
    <w:rsid w:val="00CA7BFD"/>
    <w:rsid w:val="00CB3A74"/>
    <w:rsid w:val="00CD7091"/>
    <w:rsid w:val="00CE3402"/>
    <w:rsid w:val="00CF2609"/>
    <w:rsid w:val="00CF303E"/>
    <w:rsid w:val="00CF363C"/>
    <w:rsid w:val="00D32DE7"/>
    <w:rsid w:val="00D65750"/>
    <w:rsid w:val="00D77709"/>
    <w:rsid w:val="00DB6F50"/>
    <w:rsid w:val="00DB7879"/>
    <w:rsid w:val="00DC3C00"/>
    <w:rsid w:val="00DD082B"/>
    <w:rsid w:val="00DD405C"/>
    <w:rsid w:val="00DE737B"/>
    <w:rsid w:val="00E3575E"/>
    <w:rsid w:val="00E5007D"/>
    <w:rsid w:val="00E6085F"/>
    <w:rsid w:val="00E64388"/>
    <w:rsid w:val="00E64B03"/>
    <w:rsid w:val="00E86DC3"/>
    <w:rsid w:val="00EA081E"/>
    <w:rsid w:val="00EC6E1F"/>
    <w:rsid w:val="00EE533D"/>
    <w:rsid w:val="00EF4ACF"/>
    <w:rsid w:val="00F47A81"/>
    <w:rsid w:val="00F72E97"/>
    <w:rsid w:val="00F73DC1"/>
    <w:rsid w:val="00F81750"/>
    <w:rsid w:val="00F90DF2"/>
    <w:rsid w:val="00F94141"/>
    <w:rsid w:val="00F975AB"/>
    <w:rsid w:val="00FC0C75"/>
    <w:rsid w:val="00FC19C8"/>
    <w:rsid w:val="00FD4A3B"/>
    <w:rsid w:val="00FE382A"/>
    <w:rsid w:val="00FF4C6D"/>
    <w:rsid w:val="00FF7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C49EC9"/>
  <w15:chartTrackingRefBased/>
  <w15:docId w15:val="{AEDAEBEC-7F39-4296-9C2F-9943E7B28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1D6F"/>
    <w:pPr>
      <w:spacing w:after="200" w:line="276" w:lineRule="auto"/>
    </w:pPr>
    <w:rPr>
      <w:rFonts w:eastAsiaTheme="minorEastAsia"/>
      <w:lang w:val="es-DO" w:eastAsia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91D6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D2B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2B3C"/>
    <w:rPr>
      <w:rFonts w:eastAsiaTheme="minorEastAsia"/>
      <w:lang w:val="es-DO" w:eastAsia="es-DO"/>
    </w:rPr>
  </w:style>
  <w:style w:type="paragraph" w:styleId="Piedepgina">
    <w:name w:val="footer"/>
    <w:basedOn w:val="Normal"/>
    <w:link w:val="PiedepginaCar"/>
    <w:uiPriority w:val="99"/>
    <w:unhideWhenUsed/>
    <w:rsid w:val="00AD2B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2B3C"/>
    <w:rPr>
      <w:rFonts w:eastAsiaTheme="minorEastAsia"/>
      <w:lang w:val="es-DO" w:eastAsia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2.xml"/><Relationship Id="rId18" Type="http://schemas.openxmlformats.org/officeDocument/2006/relationships/chart" Target="charts/chart7.xml"/><Relationship Id="rId26" Type="http://schemas.openxmlformats.org/officeDocument/2006/relationships/chart" Target="charts/chart15.xml"/><Relationship Id="rId39" Type="http://schemas.openxmlformats.org/officeDocument/2006/relationships/chart" Target="charts/chart28.xml"/><Relationship Id="rId21" Type="http://schemas.openxmlformats.org/officeDocument/2006/relationships/chart" Target="charts/chart10.xml"/><Relationship Id="rId34" Type="http://schemas.openxmlformats.org/officeDocument/2006/relationships/chart" Target="charts/chart23.xm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hart" Target="charts/chart5.xml"/><Relationship Id="rId20" Type="http://schemas.openxmlformats.org/officeDocument/2006/relationships/chart" Target="charts/chart9.xml"/><Relationship Id="rId29" Type="http://schemas.openxmlformats.org/officeDocument/2006/relationships/chart" Target="charts/chart18.xm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chart" Target="charts/chart13.xml"/><Relationship Id="rId32" Type="http://schemas.openxmlformats.org/officeDocument/2006/relationships/chart" Target="charts/chart21.xml"/><Relationship Id="rId37" Type="http://schemas.openxmlformats.org/officeDocument/2006/relationships/chart" Target="charts/chart26.xml"/><Relationship Id="rId40" Type="http://schemas.openxmlformats.org/officeDocument/2006/relationships/chart" Target="charts/chart29.xml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23" Type="http://schemas.openxmlformats.org/officeDocument/2006/relationships/chart" Target="charts/chart12.xml"/><Relationship Id="rId28" Type="http://schemas.openxmlformats.org/officeDocument/2006/relationships/chart" Target="charts/chart17.xml"/><Relationship Id="rId36" Type="http://schemas.openxmlformats.org/officeDocument/2006/relationships/chart" Target="charts/chart25.xml"/><Relationship Id="rId10" Type="http://schemas.openxmlformats.org/officeDocument/2006/relationships/image" Target="media/image3.emf"/><Relationship Id="rId19" Type="http://schemas.openxmlformats.org/officeDocument/2006/relationships/chart" Target="charts/chart8.xml"/><Relationship Id="rId31" Type="http://schemas.openxmlformats.org/officeDocument/2006/relationships/chart" Target="charts/chart20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chart" Target="charts/chart3.xml"/><Relationship Id="rId22" Type="http://schemas.openxmlformats.org/officeDocument/2006/relationships/chart" Target="charts/chart11.xml"/><Relationship Id="rId27" Type="http://schemas.openxmlformats.org/officeDocument/2006/relationships/chart" Target="charts/chart16.xml"/><Relationship Id="rId30" Type="http://schemas.openxmlformats.org/officeDocument/2006/relationships/chart" Target="charts/chart19.xml"/><Relationship Id="rId35" Type="http://schemas.openxmlformats.org/officeDocument/2006/relationships/chart" Target="charts/chart24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chart" Target="charts/chart1.xml"/><Relationship Id="rId17" Type="http://schemas.openxmlformats.org/officeDocument/2006/relationships/chart" Target="charts/chart6.xml"/><Relationship Id="rId25" Type="http://schemas.openxmlformats.org/officeDocument/2006/relationships/chart" Target="charts/chart14.xml"/><Relationship Id="rId33" Type="http://schemas.openxmlformats.org/officeDocument/2006/relationships/chart" Target="charts/chart22.xml"/><Relationship Id="rId38" Type="http://schemas.openxmlformats.org/officeDocument/2006/relationships/chart" Target="charts/chart27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2.bin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3.bin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1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8.xlsx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22.xml"/><Relationship Id="rId1" Type="http://schemas.microsoft.com/office/2011/relationships/chartStyle" Target="style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0.xlsx"/><Relationship Id="rId2" Type="http://schemas.microsoft.com/office/2011/relationships/chartColorStyle" Target="colors23.xml"/><Relationship Id="rId1" Type="http://schemas.microsoft.com/office/2011/relationships/chartStyle" Target="style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1.xlsx"/><Relationship Id="rId2" Type="http://schemas.microsoft.com/office/2011/relationships/chartColorStyle" Target="colors24.xml"/><Relationship Id="rId1" Type="http://schemas.microsoft.com/office/2011/relationships/chartStyle" Target="style24.xml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2.xlsx"/><Relationship Id="rId2" Type="http://schemas.microsoft.com/office/2011/relationships/chartColorStyle" Target="colors25.xml"/><Relationship Id="rId1" Type="http://schemas.microsoft.com/office/2011/relationships/chartStyle" Target="style25.xml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26.xml"/><Relationship Id="rId1" Type="http://schemas.microsoft.com/office/2011/relationships/chartStyle" Target="style26.xml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3.xlsx"/><Relationship Id="rId2" Type="http://schemas.microsoft.com/office/2011/relationships/chartColorStyle" Target="colors27.xml"/><Relationship Id="rId1" Type="http://schemas.microsoft.com/office/2011/relationships/chartStyle" Target="style27.xml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28.xml"/><Relationship Id="rId1" Type="http://schemas.microsoft.com/office/2011/relationships/chartStyle" Target="style28.xml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a\PLANIFICACION%20Y%20CONOCIMIENTO\POA%20FINAL\PLANTILLA%20y%20DOC%20ORIGINAL\PLANTILLA%20POA%20GENERAL.xlsx" TargetMode="External"/><Relationship Id="rId2" Type="http://schemas.microsoft.com/office/2011/relationships/chartColorStyle" Target="colors29.xml"/><Relationship Id="rId1" Type="http://schemas.microsoft.com/office/2011/relationships/chartStyle" Target="style2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sz="1200"/>
              <a:t>Indicadores</a:t>
            </a:r>
            <a:r>
              <a:rPr lang="es-MX" sz="1200" baseline="0"/>
              <a:t> POA 2018</a:t>
            </a:r>
            <a:br>
              <a:rPr lang="es-MX" sz="1200" baseline="0"/>
            </a:br>
            <a:r>
              <a:rPr lang="es-MX" sz="1200" baseline="0"/>
              <a:t>Área: Nómina</a:t>
            </a:r>
            <a:endParaRPr lang="es-MX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>
        <c:manualLayout>
          <c:layoutTarget val="inner"/>
          <c:xMode val="edge"/>
          <c:yMode val="edge"/>
          <c:x val="0.11493856409541726"/>
          <c:y val="0.23533026113671274"/>
          <c:w val="0.86441246835296026"/>
          <c:h val="0.2158302792796061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'Graficos RRHH'!$B$2</c:f>
              <c:strCache>
                <c:ptCount val="1"/>
                <c:pt idx="0">
                  <c:v>Nivel de cumplimiento archivos cargados al SIGEF.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75000"/>
                </a:schemeClr>
              </a:solidFill>
            </a:ln>
            <a:effectLst/>
          </c:spPr>
          <c:invertIfNegative val="0"/>
          <c:cat>
            <c:strRef>
              <c:f>'Graficos RRHH'!$F$1:$I$1</c:f>
              <c:strCache>
                <c:ptCount val="4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  <c:pt idx="3">
                  <c:v>Julio</c:v>
                </c:pt>
              </c:strCache>
            </c:strRef>
          </c:cat>
          <c:val>
            <c:numRef>
              <c:f>'Graficos RRHH'!$F$2:$H$2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DC6-4D75-B0C9-A1A015B0BA9C}"/>
            </c:ext>
          </c:extLst>
        </c:ser>
        <c:ser>
          <c:idx val="1"/>
          <c:order val="1"/>
          <c:tx>
            <c:strRef>
              <c:f>'Graficos RRHH'!$B$3</c:f>
              <c:strCache>
                <c:ptCount val="1"/>
                <c:pt idx="0">
                  <c:v>Nóminas listas y cargadas al SIGEF antes del día 13.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chemeClr val="accent2">
                  <a:lumMod val="75000"/>
                </a:schemeClr>
              </a:solidFill>
            </a:ln>
            <a:effectLst/>
          </c:spPr>
          <c:invertIfNegative val="0"/>
          <c:cat>
            <c:strRef>
              <c:f>'Graficos RRHH'!$F$1:$I$1</c:f>
              <c:strCache>
                <c:ptCount val="4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  <c:pt idx="3">
                  <c:v>Julio</c:v>
                </c:pt>
              </c:strCache>
            </c:strRef>
          </c:cat>
          <c:val>
            <c:numRef>
              <c:f>'Graficos RRHH'!$F$3:$H$3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DC6-4D75-B0C9-A1A015B0BA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9553280"/>
        <c:axId val="189990272"/>
      </c:barChart>
      <c:lineChart>
        <c:grouping val="standard"/>
        <c:varyColors val="0"/>
        <c:ser>
          <c:idx val="2"/>
          <c:order val="2"/>
          <c:tx>
            <c:strRef>
              <c:f>'Graficos RRHH'!$B$4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chemeClr val="accent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'Graficos RRHH'!$C$1:$F$1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'Graficos RRHH'!$C$4:$F$4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DC6-4D75-B0C9-A1A015B0BA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553280"/>
        <c:axId val="189990272"/>
      </c:lineChart>
      <c:catAx>
        <c:axId val="179553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89990272"/>
        <c:crosses val="autoZero"/>
        <c:auto val="1"/>
        <c:lblAlgn val="ctr"/>
        <c:lblOffset val="100"/>
        <c:noMultiLvlLbl val="0"/>
      </c:catAx>
      <c:valAx>
        <c:axId val="189990272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795532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9552946368429613"/>
          <c:y val="0.56912224681592216"/>
          <c:w val="0.62074025038905534"/>
          <c:h val="0.3641509063703485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Indicadores</a:t>
            </a:r>
            <a:r>
              <a:rPr lang="es-MX" baseline="0"/>
              <a:t> POA 2018</a:t>
            </a:r>
            <a:br>
              <a:rPr lang="es-MX" baseline="0"/>
            </a:br>
            <a:r>
              <a:rPr lang="es-MX" baseline="0"/>
              <a:t>Área: Compensación y Beneficio</a:t>
            </a:r>
            <a:endParaRPr lang="es-MX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'Graficos RRHH'!$B$23</c:f>
              <c:strCache>
                <c:ptCount val="1"/>
                <c:pt idx="0">
                  <c:v>Porcentaje de solicitudes tramitadas a tiempo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75000"/>
                </a:schemeClr>
              </a:solidFill>
            </a:ln>
            <a:effectLst/>
          </c:spPr>
          <c:invertIfNegative val="0"/>
          <c:cat>
            <c:strRef>
              <c:f>'Graficos RRHH'!$F$22:$H$22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'Graficos RRHH'!$F$23:$H$23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 formatCode="0.00%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2F-499B-8A51-0048A60B9D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55642736"/>
        <c:axId val="344683184"/>
      </c:barChart>
      <c:lineChart>
        <c:grouping val="standard"/>
        <c:varyColors val="0"/>
        <c:ser>
          <c:idx val="1"/>
          <c:order val="1"/>
          <c:tx>
            <c:strRef>
              <c:f>'Graficos RRHH'!$B$24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cat>
            <c:strRef>
              <c:f>'Graficos RRHH'!$F$22:$H$22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'Graficos RRHH'!$F$24:$H$24</c:f>
              <c:numCache>
                <c:formatCode>0%</c:formatCode>
                <c:ptCount val="3"/>
                <c:pt idx="0">
                  <c:v>0.98</c:v>
                </c:pt>
                <c:pt idx="1">
                  <c:v>0.98</c:v>
                </c:pt>
                <c:pt idx="2">
                  <c:v>0.98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42F-499B-8A51-0048A60B9D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55642736"/>
        <c:axId val="344683184"/>
      </c:lineChart>
      <c:catAx>
        <c:axId val="3556427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344683184"/>
        <c:crosses val="autoZero"/>
        <c:auto val="1"/>
        <c:lblAlgn val="ctr"/>
        <c:lblOffset val="100"/>
        <c:noMultiLvlLbl val="0"/>
      </c:catAx>
      <c:valAx>
        <c:axId val="344683184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3556427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Indicadores</a:t>
            </a:r>
            <a:r>
              <a:rPr lang="es-MX" baseline="0"/>
              <a:t> POA 2018</a:t>
            </a:r>
            <a:br>
              <a:rPr lang="es-MX" baseline="0"/>
            </a:br>
            <a:r>
              <a:rPr lang="es-MX" baseline="0"/>
              <a:t>Área: Limpieza</a:t>
            </a:r>
            <a:endParaRPr lang="es-MX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'[PLANTILLA POA GENERAL.xlsx]Gráficos Ser.Gen.'!$B$6</c:f>
              <c:strCache>
                <c:ptCount val="1"/>
                <c:pt idx="0">
                  <c:v>Cantidad de desinfecciones realizadas con respecto a las programadas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chemeClr val="accent2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2">
                        <a:lumMod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'[PLANTILLA POA GENERAL.xlsx]Gráficos Ser.Gen.'!$F$5:$H$5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'[PLANTILLA POA GENERAL.xlsx]Gráficos Ser.Gen.'!$F$6:$H$6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E1-400F-8A06-14AD4EC588DC}"/>
            </c:ext>
          </c:extLst>
        </c:ser>
        <c:ser>
          <c:idx val="1"/>
          <c:order val="1"/>
          <c:tx>
            <c:strRef>
              <c:f>'[PLANTILLA POA GENERAL.xlsx]Gráficos Ser.Gen.'!$B$7</c:f>
              <c:strCache>
                <c:ptCount val="1"/>
                <c:pt idx="0">
                  <c:v>Porcentaje de cumplimiento de checklist de manejo de materiales</c:v>
                </c:pt>
              </c:strCache>
            </c:strRef>
          </c:tx>
          <c:spPr>
            <a:solidFill>
              <a:schemeClr val="accent1">
                <a:lumMod val="20000"/>
                <a:lumOff val="80000"/>
              </a:schemeClr>
            </a:solidFill>
            <a:ln>
              <a:solidFill>
                <a:schemeClr val="accent1">
                  <a:lumMod val="7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1">
                        <a:lumMod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'[PLANTILLA POA GENERAL.xlsx]Gráficos Ser.Gen.'!$F$5:$H$5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'[PLANTILLA POA GENERAL.xlsx]Gráficos Ser.Gen.'!$F$7:$H$7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5E1-400F-8A06-14AD4EC588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86025839"/>
        <c:axId val="292673455"/>
      </c:barChart>
      <c:lineChart>
        <c:grouping val="standard"/>
        <c:varyColors val="0"/>
        <c:ser>
          <c:idx val="2"/>
          <c:order val="2"/>
          <c:tx>
            <c:strRef>
              <c:f>'[PLANTILLA POA GENERAL.xlsx]Gráficos Ser.Gen.'!$B$9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val>
            <c:numRef>
              <c:f>'[PLANTILLA POA GENERAL.xlsx]Gráficos Ser.Gen.'!$C$9:$E$9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5E1-400F-8A06-14AD4EC588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86025839"/>
        <c:axId val="292673455"/>
      </c:lineChart>
      <c:catAx>
        <c:axId val="286025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92673455"/>
        <c:crosses val="autoZero"/>
        <c:auto val="1"/>
        <c:lblAlgn val="ctr"/>
        <c:lblOffset val="100"/>
        <c:noMultiLvlLbl val="0"/>
      </c:catAx>
      <c:valAx>
        <c:axId val="292673455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860258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Indicadores POA 2018</a:t>
            </a:r>
            <a:br>
              <a:rPr lang="en-US" sz="1200"/>
            </a:br>
            <a:r>
              <a:rPr lang="en-US" sz="1200"/>
              <a:t>Área:</a:t>
            </a:r>
            <a:r>
              <a:rPr lang="en-US" sz="1200" baseline="0"/>
              <a:t> Lavandería</a:t>
            </a:r>
            <a:br>
              <a:rPr lang="en-US" sz="1200" baseline="0"/>
            </a:br>
            <a:r>
              <a:rPr lang="en-US" sz="1200" b="0" i="0" u="none" strike="noStrike" baseline="0">
                <a:effectLst/>
              </a:rPr>
              <a:t>Nivel de cumplimiento de checklist </a:t>
            </a:r>
            <a:endParaRPr lang="en-US" sz="1200"/>
          </a:p>
        </c:rich>
      </c:tx>
      <c:layout>
        <c:manualLayout>
          <c:xMode val="edge"/>
          <c:yMode val="edge"/>
          <c:x val="0.25660411292271551"/>
          <c:y val="2.306132188021951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ctr"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>
        <c:manualLayout>
          <c:layoutTarget val="inner"/>
          <c:xMode val="edge"/>
          <c:yMode val="edge"/>
          <c:x val="6.3233123735821697E-2"/>
          <c:y val="0.1968641080880042"/>
          <c:w val="0.90698837482847616"/>
          <c:h val="0.54570087227732789"/>
        </c:manualLayout>
      </c:layout>
      <c:barChart>
        <c:barDir val="col"/>
        <c:grouping val="clustered"/>
        <c:varyColors val="0"/>
        <c:ser>
          <c:idx val="0"/>
          <c:order val="1"/>
          <c:tx>
            <c:strRef>
              <c:f>'[PLANTILLA POA GENERAL.xlsx]Gráficos Ser.Gen.'!$B$54</c:f>
              <c:strCache>
                <c:ptCount val="1"/>
                <c:pt idx="0">
                  <c:v>Nivel de cumplimiento de checklist 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chemeClr val="accent6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'[PLANTILLA POA GENERAL.xlsx]Gráficos Ser.Gen.'!$F$54:$H$54</c:f>
              <c:numCache>
                <c:formatCode>0%</c:formatCode>
                <c:ptCount val="3"/>
                <c:pt idx="0">
                  <c:v>0.92</c:v>
                </c:pt>
                <c:pt idx="1">
                  <c:v>0.96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CA-4401-A702-0F76377345C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363055599"/>
        <c:axId val="286869359"/>
      </c:barChart>
      <c:lineChart>
        <c:grouping val="standard"/>
        <c:varyColors val="0"/>
        <c:ser>
          <c:idx val="1"/>
          <c:order val="0"/>
          <c:tx>
            <c:strRef>
              <c:f>'[PLANTILLA POA GENERAL.xlsx]Gráficos Ser.Gen.'!$B$55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'[PLANTILLA POA GENERAL.xlsx]Gráficos Ser.Gen.'!$F$53:$H$53</c:f>
              <c:strCache>
                <c:ptCount val="3"/>
                <c:pt idx="0">
                  <c:v>Abril 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'[PLANTILLA POA GENERAL.xlsx]Gráficos Ser.Gen.'!$F$55:$H$55</c:f>
              <c:numCache>
                <c:formatCode>0%</c:formatCode>
                <c:ptCount val="3"/>
                <c:pt idx="0">
                  <c:v>0.98</c:v>
                </c:pt>
                <c:pt idx="1">
                  <c:v>0.98</c:v>
                </c:pt>
                <c:pt idx="2">
                  <c:v>0.98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CCA-4401-A702-0F76377345C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363055599"/>
        <c:axId val="286869359"/>
      </c:lineChart>
      <c:catAx>
        <c:axId val="3630555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86869359"/>
        <c:crosses val="autoZero"/>
        <c:auto val="1"/>
        <c:lblAlgn val="ctr"/>
        <c:lblOffset val="100"/>
        <c:noMultiLvlLbl val="0"/>
      </c:catAx>
      <c:valAx>
        <c:axId val="286869359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3630555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2892422173138421"/>
          <c:y val="0.86900357909806725"/>
          <c:w val="0.57233207468499159"/>
          <c:h val="9.322590362428456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368171346878912"/>
          <c:y val="0.19662470157332029"/>
          <c:w val="0.82557174103237096"/>
          <c:h val="0.6009339457567803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'[PLANTILLA POA GENERAL.xlsx]Gráficos Ser.Gen.'!$B$31</c:f>
              <c:strCache>
                <c:ptCount val="1"/>
                <c:pt idx="0">
                  <c:v>Porcentaje de lencería recibida con respecto a la entregada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7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5">
                        <a:lumMod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'[PLANTILLA POA GENERAL.xlsx]Gráficos Ser.Gen.'!$F$30:$H$30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'[PLANTILLA POA GENERAL.xlsx]Gráficos Ser.Gen.'!$F$31:$H$31</c:f>
              <c:numCache>
                <c:formatCode>0%</c:formatCode>
                <c:ptCount val="3"/>
                <c:pt idx="0">
                  <c:v>0.95</c:v>
                </c:pt>
                <c:pt idx="1">
                  <c:v>0.9</c:v>
                </c:pt>
                <c:pt idx="2">
                  <c:v>0.95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58-4D01-A69F-32AED2A05D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77532207"/>
        <c:axId val="527328591"/>
      </c:barChart>
      <c:lineChart>
        <c:grouping val="standard"/>
        <c:varyColors val="0"/>
        <c:ser>
          <c:idx val="1"/>
          <c:order val="1"/>
          <c:tx>
            <c:strRef>
              <c:f>'[PLANTILLA POA GENERAL.xlsx]Gráficos Ser.Gen.'!$B$32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'[PLANTILLA POA GENERAL.xlsx]Gráficos Ser.Gen.'!$F$30:$H$30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'[PLANTILLA POA GENERAL.xlsx]Gráficos Ser.Gen.'!$F$32:$H$32</c:f>
              <c:numCache>
                <c:formatCode>0%</c:formatCode>
                <c:ptCount val="3"/>
                <c:pt idx="0">
                  <c:v>0.9</c:v>
                </c:pt>
                <c:pt idx="1">
                  <c:v>0.9</c:v>
                </c:pt>
                <c:pt idx="2">
                  <c:v>0.9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258-4D01-A69F-32AED2A05D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77532207"/>
        <c:axId val="527328591"/>
      </c:lineChart>
      <c:catAx>
        <c:axId val="27753220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27328591"/>
        <c:crosses val="autoZero"/>
        <c:auto val="1"/>
        <c:lblAlgn val="ctr"/>
        <c:lblOffset val="100"/>
        <c:noMultiLvlLbl val="0"/>
      </c:catAx>
      <c:valAx>
        <c:axId val="527328591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7753220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0458552270007346"/>
          <c:y val="0.86252855928825511"/>
          <c:w val="0.66044344115969511"/>
          <c:h val="0.1361765796224624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Indicadores POA 2018</a:t>
            </a:r>
            <a:br>
              <a:rPr lang="es-MX"/>
            </a:br>
            <a:r>
              <a:rPr lang="es-MX"/>
              <a:t>Área: Cocina Hospitalaria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Ser.Gen.'!$B$106</c:f>
              <c:strCache>
                <c:ptCount val="1"/>
                <c:pt idx="0">
                  <c:v>Nivel de cumplimiento de checklist 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solidFill>
                <a:schemeClr val="tx1">
                  <a:lumMod val="65000"/>
                  <a:lumOff val="3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Ser.Gen.'!$F$105:$H$105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Ser.Gen.'!$F$106:$H$106</c:f>
              <c:numCache>
                <c:formatCode>0%</c:formatCode>
                <c:ptCount val="3"/>
                <c:pt idx="0">
                  <c:v>0.9</c:v>
                </c:pt>
                <c:pt idx="1">
                  <c:v>0.92</c:v>
                </c:pt>
                <c:pt idx="2">
                  <c:v>0.96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50A-4437-9548-33477626080A}"/>
            </c:ext>
          </c:extLst>
        </c:ser>
        <c:ser>
          <c:idx val="2"/>
          <c:order val="2"/>
          <c:tx>
            <c:strRef>
              <c:f>'Gráficos Ser.Gen.'!$B$108</c:f>
              <c:strCache>
                <c:ptCount val="1"/>
                <c:pt idx="0">
                  <c:v>Porcentaje de empleados capacitados del total general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'Gráficos Ser.Gen.'!$F$105:$H$105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Ser.Gen.'!$F$108:$H$108</c:f>
              <c:numCache>
                <c:formatCode>General</c:formatCode>
                <c:ptCount val="3"/>
                <c:pt idx="0" formatCode="0%">
                  <c:v>0.86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50A-4437-9548-33477626080A}"/>
            </c:ext>
          </c:extLst>
        </c:ser>
        <c:ser>
          <c:idx val="3"/>
          <c:order val="3"/>
          <c:tx>
            <c:strRef>
              <c:f>'Gráficos Ser.Gen.'!$B$110</c:f>
              <c:strCache>
                <c:ptCount val="1"/>
                <c:pt idx="0">
                  <c:v>Porcentaje de cumplimiento de dietas preparados por Nutrición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'Gráficos Ser.Gen.'!$F$105:$H$105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Ser.Gen.'!$F$110:$H$110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2-B50A-4437-9548-3347762608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543764351"/>
        <c:axId val="544603711"/>
      </c:barChart>
      <c:lineChart>
        <c:grouping val="standard"/>
        <c:varyColors val="0"/>
        <c:ser>
          <c:idx val="1"/>
          <c:order val="1"/>
          <c:tx>
            <c:strRef>
              <c:f>'Gráficos Ser.Gen.'!$B$107</c:f>
              <c:strCache>
                <c:ptCount val="1"/>
                <c:pt idx="0">
                  <c:v>Meta cumplimiento de checklist 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50A-4437-9548-33477626080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Ser.Gen.'!$F$105:$H$105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Ser.Gen.'!$F$107:$H$107</c:f>
              <c:numCache>
                <c:formatCode>0%</c:formatCode>
                <c:ptCount val="3"/>
                <c:pt idx="0">
                  <c:v>0.95</c:v>
                </c:pt>
                <c:pt idx="1">
                  <c:v>0.95</c:v>
                </c:pt>
                <c:pt idx="2">
                  <c:v>0.95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B50A-4437-9548-33477626080A}"/>
            </c:ext>
          </c:extLst>
        </c:ser>
        <c:ser>
          <c:idx val="4"/>
          <c:order val="4"/>
          <c:tx>
            <c:strRef>
              <c:f>'Gráficos Ser.Gen.'!$B$109</c:f>
              <c:strCache>
                <c:ptCount val="1"/>
                <c:pt idx="0">
                  <c:v>Meta establecida del personal capacitado en el area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strRef>
              <c:f>'Gráficos Ser.Gen.'!$F$105:$H$105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Ser.Gen.'!$F$109:$H$109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B50A-4437-9548-3347762608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43764351"/>
        <c:axId val="544603711"/>
      </c:lineChart>
      <c:catAx>
        <c:axId val="54376435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44603711"/>
        <c:crosses val="autoZero"/>
        <c:auto val="1"/>
        <c:lblAlgn val="ctr"/>
        <c:lblOffset val="100"/>
        <c:noMultiLvlLbl val="0"/>
      </c:catAx>
      <c:valAx>
        <c:axId val="54460371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4376435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 rtl="0">
              <a:defRPr lang="es-MX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s-MX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  <a:t>Indicadores POA 2018</a:t>
            </a:r>
            <a:br>
              <a:rPr lang="es-MX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</a:br>
            <a:r>
              <a:rPr lang="es-MX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  <a:t>Área: Sastrería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ctr" rtl="0">
            <a:defRPr lang="es-MX"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Ser.Gen.'!$B$138</c:f>
              <c:strCache>
                <c:ptCount val="1"/>
                <c:pt idx="0">
                  <c:v>Porcentaje de lencería elaborada respecto a la programada </c:v>
                </c:pt>
              </c:strCache>
            </c:strRef>
          </c:tx>
          <c:spPr>
            <a:solidFill>
              <a:schemeClr val="accent2">
                <a:lumMod val="20000"/>
                <a:lumOff val="80000"/>
              </a:schemeClr>
            </a:solidFill>
            <a:ln>
              <a:solidFill>
                <a:schemeClr val="accent2">
                  <a:lumMod val="7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2">
                        <a:lumMod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Ser.Gen.'!$F$137:$H$137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Ser.Gen.'!$F$138:$H$138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8DE-4AAF-9C69-0E85C2B219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2830495"/>
        <c:axId val="531226191"/>
      </c:barChart>
      <c:lineChart>
        <c:grouping val="standard"/>
        <c:varyColors val="0"/>
        <c:ser>
          <c:idx val="1"/>
          <c:order val="1"/>
          <c:tx>
            <c:strRef>
              <c:f>'Gráficos Ser.Gen.'!$B$139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'Gráficos Ser.Gen.'!$F$137:$H$137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Ser.Gen.'!$F$139:$H$139</c:f>
              <c:numCache>
                <c:formatCode>0%</c:formatCode>
                <c:ptCount val="3"/>
                <c:pt idx="0">
                  <c:v>0.9</c:v>
                </c:pt>
                <c:pt idx="1">
                  <c:v>0.9</c:v>
                </c:pt>
                <c:pt idx="2">
                  <c:v>0.9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8DE-4AAF-9C69-0E85C2B219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62830495"/>
        <c:axId val="531226191"/>
      </c:lineChart>
      <c:catAx>
        <c:axId val="3628304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31226191"/>
        <c:crosses val="autoZero"/>
        <c:auto val="1"/>
        <c:lblAlgn val="ctr"/>
        <c:lblOffset val="100"/>
        <c:noMultiLvlLbl val="0"/>
      </c:catAx>
      <c:valAx>
        <c:axId val="531226191"/>
        <c:scaling>
          <c:orientation val="minMax"/>
        </c:scaling>
        <c:delete val="0"/>
        <c:axPos val="l"/>
        <c:numFmt formatCode="0.0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36283049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sz="1100"/>
              <a:t>Indicadores POA 2018</a:t>
            </a:r>
            <a:br>
              <a:rPr lang="es-MX" sz="1100"/>
            </a:br>
            <a:r>
              <a:rPr lang="es-MX" sz="1100"/>
              <a:t>Área: Readecuación y Ornato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>
        <c:manualLayout>
          <c:layoutTarget val="inner"/>
          <c:xMode val="edge"/>
          <c:yMode val="edge"/>
          <c:x val="0.13194027633338284"/>
          <c:y val="0.25353561326819235"/>
          <c:w val="0.81522953498737183"/>
          <c:h val="0.1970990255171561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'Gráficos Ser.Gen.'!$B$77</c:f>
              <c:strCache>
                <c:ptCount val="1"/>
                <c:pt idx="0">
                  <c:v>Porcentaje de propuestas diseñadas con respecto a las solicitadas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7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1">
                        <a:lumMod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Ser.Gen.'!$F$76:$G$76</c:f>
              <c:strCache>
                <c:ptCount val="2"/>
                <c:pt idx="0">
                  <c:v>Abril </c:v>
                </c:pt>
                <c:pt idx="1">
                  <c:v>Mayo</c:v>
                </c:pt>
              </c:strCache>
            </c:strRef>
          </c:cat>
          <c:val>
            <c:numRef>
              <c:f>'Gráficos Ser.Gen.'!$F$77:$G$77</c:f>
              <c:numCache>
                <c:formatCode>0%</c:formatCode>
                <c:ptCount val="2"/>
                <c:pt idx="0">
                  <c:v>1.5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1E5-4D73-9FB3-538BF054EB66}"/>
            </c:ext>
          </c:extLst>
        </c:ser>
        <c:ser>
          <c:idx val="1"/>
          <c:order val="2"/>
          <c:tx>
            <c:strRef>
              <c:f>'Gráficos Ser.Gen.'!$B$79</c:f>
              <c:strCache>
                <c:ptCount val="1"/>
                <c:pt idx="0">
                  <c:v>Porcentaje de proyectos realizados con respecto a los autorizados</c:v>
                </c:pt>
              </c:strCache>
            </c:strRef>
          </c:tx>
          <c:spPr>
            <a:solidFill>
              <a:schemeClr val="accent6">
                <a:lumMod val="20000"/>
                <a:lumOff val="80000"/>
              </a:schemeClr>
            </a:solidFill>
            <a:ln>
              <a:solidFill>
                <a:schemeClr val="accent6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6">
                        <a:lumMod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Ser.Gen.'!$F$76:$G$76</c:f>
              <c:strCache>
                <c:ptCount val="2"/>
                <c:pt idx="0">
                  <c:v>Abril </c:v>
                </c:pt>
                <c:pt idx="1">
                  <c:v>Mayo</c:v>
                </c:pt>
              </c:strCache>
            </c:strRef>
          </c:cat>
          <c:val>
            <c:numRef>
              <c:f>'Gráficos Ser.Gen.'!$F$79:$G$79</c:f>
              <c:numCache>
                <c:formatCode>0%</c:formatCode>
                <c:ptCount val="2"/>
                <c:pt idx="0">
                  <c:v>0</c:v>
                </c:pt>
                <c:pt idx="1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1E5-4D73-9FB3-538BF054EB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43748127"/>
        <c:axId val="292670863"/>
      </c:barChart>
      <c:lineChart>
        <c:grouping val="standard"/>
        <c:varyColors val="0"/>
        <c:ser>
          <c:idx val="3"/>
          <c:order val="1"/>
          <c:tx>
            <c:strRef>
              <c:f>'Gráficos Ser.Gen.'!$B$78</c:f>
              <c:strCache>
                <c:ptCount val="1"/>
                <c:pt idx="0">
                  <c:v>Meta propuestas diseñadas con respecto a las solicitadas</c:v>
                </c:pt>
              </c:strCache>
            </c:strRef>
          </c:tx>
          <c:spPr>
            <a:ln w="28575" cap="rnd">
              <a:solidFill>
                <a:schemeClr val="accent1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'Gráficos Ser.Gen.'!$C$76:$E$76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'Gráficos Ser.Gen.'!$F$78:$G$78</c:f>
              <c:numCache>
                <c:formatCode>0%</c:formatCode>
                <c:ptCount val="2"/>
                <c:pt idx="0">
                  <c:v>1</c:v>
                </c:pt>
                <c:pt idx="1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1E5-4D73-9FB3-538BF054EB66}"/>
            </c:ext>
          </c:extLst>
        </c:ser>
        <c:ser>
          <c:idx val="2"/>
          <c:order val="3"/>
          <c:tx>
            <c:strRef>
              <c:f>'Gráficos Ser.Gen.'!$B$80</c:f>
              <c:strCache>
                <c:ptCount val="1"/>
                <c:pt idx="0">
                  <c:v>Meta proyectos realizados con respecto a los autorizados</c:v>
                </c:pt>
              </c:strCache>
            </c:strRef>
          </c:tx>
          <c:spPr>
            <a:ln w="28575" cap="rnd">
              <a:solidFill>
                <a:schemeClr val="accent6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'Gráficos Ser.Gen.'!$C$76:$E$76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'Gráficos Ser.Gen.'!$F$80:$G$80</c:f>
              <c:numCache>
                <c:formatCode>0%</c:formatCode>
                <c:ptCount val="2"/>
                <c:pt idx="0">
                  <c:v>0.8</c:v>
                </c:pt>
                <c:pt idx="1">
                  <c:v>0.8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71E5-4D73-9FB3-538BF054EB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43748127"/>
        <c:axId val="292670863"/>
      </c:lineChart>
      <c:catAx>
        <c:axId val="54374812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92670863"/>
        <c:crosses val="autoZero"/>
        <c:auto val="1"/>
        <c:lblAlgn val="ctr"/>
        <c:lblOffset val="100"/>
        <c:noMultiLvlLbl val="0"/>
      </c:catAx>
      <c:valAx>
        <c:axId val="292670863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4374812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5431585202793045E-2"/>
          <c:y val="0.56479389677730241"/>
          <c:w val="0.88158936265042342"/>
          <c:h val="0.3786362909316202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s-MX" sz="1400" b="0" i="0" baseline="0">
                <a:solidFill>
                  <a:sysClr val="windowText" lastClr="000000"/>
                </a:solidFill>
                <a:effectLst/>
              </a:rPr>
              <a:t>Indicadores POA 2018</a:t>
            </a:r>
            <a:br>
              <a:rPr lang="es-MX" sz="1400" b="0" i="0" baseline="0">
                <a:solidFill>
                  <a:sysClr val="windowText" lastClr="000000"/>
                </a:solidFill>
                <a:effectLst/>
              </a:rPr>
            </a:br>
            <a:r>
              <a:rPr lang="es-MX" sz="1400" b="0" i="0" baseline="0">
                <a:solidFill>
                  <a:sysClr val="windowText" lastClr="000000"/>
                </a:solidFill>
                <a:effectLst/>
              </a:rPr>
              <a:t>Área: Estadística Hospitalaria</a:t>
            </a:r>
            <a:endParaRPr lang="es-MX" sz="1400">
              <a:solidFill>
                <a:sysClr val="windowText" lastClr="000000"/>
              </a:solidFill>
              <a:effectLst/>
            </a:endParaRPr>
          </a:p>
        </c:rich>
      </c:tx>
      <c:layout>
        <c:manualLayout>
          <c:xMode val="edge"/>
          <c:yMode val="edge"/>
          <c:x val="0.30902077865266842"/>
          <c:y val="2.77777777777777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Planif.'!$A$53</c:f>
              <c:strCache>
                <c:ptCount val="1"/>
                <c:pt idx="0">
                  <c:v>Porcentaje de Informes de productividad elaborados 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solidFill>
                <a:srgbClr val="0070C0"/>
              </a:solidFill>
            </a:ln>
            <a:effectLst/>
          </c:spPr>
          <c:invertIfNegative val="0"/>
          <c:cat>
            <c:strRef>
              <c:f>'Gráficos Planif.'!$E$52:$G$52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Planif.'!$E$53:$G$53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4E1-4CD8-A978-83FD2C7C9770}"/>
            </c:ext>
          </c:extLst>
        </c:ser>
        <c:ser>
          <c:idx val="1"/>
          <c:order val="1"/>
          <c:tx>
            <c:strRef>
              <c:f>'Gráficos Planif.'!$A$54</c:f>
              <c:strCache>
                <c:ptCount val="1"/>
                <c:pt idx="0">
                  <c:v>Porcentaje de reportes enviados a áreas correspondientes en tiempo establecido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chemeClr val="accent2">
                  <a:lumMod val="50000"/>
                </a:schemeClr>
              </a:solidFill>
            </a:ln>
            <a:effectLst/>
          </c:spPr>
          <c:invertIfNegative val="0"/>
          <c:cat>
            <c:strRef>
              <c:f>'Gráficos Planif.'!$E$52:$G$52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Planif.'!$E$54:$G$54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4E1-4CD8-A978-83FD2C7C9770}"/>
            </c:ext>
          </c:extLst>
        </c:ser>
        <c:ser>
          <c:idx val="2"/>
          <c:order val="2"/>
          <c:tx>
            <c:strRef>
              <c:f>'Gráficos Planif.'!$A$55</c:f>
              <c:strCache>
                <c:ptCount val="1"/>
                <c:pt idx="0">
                  <c:v>Porcentaje de encuestas listas para aplicar con respecto al total programadas.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chemeClr val="accent6">
                  <a:lumMod val="50000"/>
                </a:schemeClr>
              </a:solidFill>
            </a:ln>
            <a:effectLst/>
          </c:spPr>
          <c:invertIfNegative val="0"/>
          <c:cat>
            <c:strRef>
              <c:f>'Gráficos Planif.'!$E$52:$G$52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Planif.'!$E$55:$G$55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4E1-4CD8-A978-83FD2C7C9770}"/>
            </c:ext>
          </c:extLst>
        </c:ser>
        <c:ser>
          <c:idx val="3"/>
          <c:order val="3"/>
          <c:tx>
            <c:strRef>
              <c:f>'Gráficos Planif.'!$A$56</c:f>
              <c:strCache>
                <c:ptCount val="1"/>
                <c:pt idx="0">
                  <c:v>Porcentaje de encuestas tabuladas del total aplicada.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  <a:ln>
              <a:solidFill>
                <a:schemeClr val="tx1">
                  <a:lumMod val="95000"/>
                  <a:lumOff val="5000"/>
                </a:schemeClr>
              </a:solidFill>
            </a:ln>
            <a:effectLst/>
          </c:spPr>
          <c:invertIfNegative val="0"/>
          <c:cat>
            <c:strRef>
              <c:f>'Gráficos Planif.'!$E$52:$G$52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Planif.'!$E$56:$G$56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4E1-4CD8-A978-83FD2C7C97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64149535"/>
        <c:axId val="191554575"/>
      </c:barChart>
      <c:lineChart>
        <c:grouping val="standard"/>
        <c:varyColors val="0"/>
        <c:ser>
          <c:idx val="4"/>
          <c:order val="4"/>
          <c:tx>
            <c:strRef>
              <c:f>'Gráficos Planif.'!$A$57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'Gráficos Planif.'!$E$52:$G$52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Planif.'!$E$57:$G$57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04E1-4CD8-A978-83FD2C7C97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64149535"/>
        <c:axId val="191554575"/>
      </c:lineChart>
      <c:catAx>
        <c:axId val="20641495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91554575"/>
        <c:crosses val="autoZero"/>
        <c:auto val="1"/>
        <c:lblAlgn val="ctr"/>
        <c:lblOffset val="100"/>
        <c:noMultiLvlLbl val="0"/>
      </c:catAx>
      <c:valAx>
        <c:axId val="191554575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06414953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Indicadores POA 2018</a:t>
            </a:r>
            <a:br>
              <a:rPr lang="es-MX"/>
            </a:br>
            <a:r>
              <a:rPr lang="es-MX"/>
              <a:t>Área: Archívo</a:t>
            </a:r>
            <a:r>
              <a:rPr lang="es-MX" baseline="0"/>
              <a:t> Clínico</a:t>
            </a:r>
            <a:endParaRPr lang="es-MX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>
        <c:manualLayout>
          <c:layoutTarget val="inner"/>
          <c:xMode val="edge"/>
          <c:yMode val="edge"/>
          <c:x val="9.7122703412073491E-2"/>
          <c:y val="0.17171296296296296"/>
          <c:w val="0.87232174103237092"/>
          <c:h val="0.34877624671916002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'Gráficos Planif.'!$A$5</c:f>
              <c:strCache>
                <c:ptCount val="1"/>
                <c:pt idx="0">
                  <c:v>Porcentaje de expedientes extraídos y entregados correctamente.</c:v>
                </c:pt>
              </c:strCache>
            </c:strRef>
          </c:tx>
          <c:spPr>
            <a:solidFill>
              <a:schemeClr val="accent4">
                <a:lumMod val="20000"/>
                <a:lumOff val="80000"/>
              </a:schemeClr>
            </a:solidFill>
            <a:ln>
              <a:solidFill>
                <a:schemeClr val="accent4">
                  <a:lumMod val="50000"/>
                </a:schemeClr>
              </a:solidFill>
            </a:ln>
            <a:effectLst/>
          </c:spPr>
          <c:invertIfNegative val="0"/>
          <c:cat>
            <c:strRef>
              <c:f>'Gráficos Planif.'!$B$2:$D$2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'Gráficos Planif.'!$B$5:$D$5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F7B-42AA-93AC-CF4F42644A0D}"/>
            </c:ext>
          </c:extLst>
        </c:ser>
        <c:ser>
          <c:idx val="2"/>
          <c:order val="2"/>
          <c:tx>
            <c:strRef>
              <c:f>'Gráficos Planif.'!$A$7</c:f>
              <c:strCache>
                <c:ptCount val="1"/>
                <c:pt idx="0">
                  <c:v>Porcentaje de expedientes recogidos y archivados en el tiempo correspondiente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chemeClr val="accent2">
                  <a:lumMod val="50000"/>
                </a:schemeClr>
              </a:solidFill>
            </a:ln>
            <a:effectLst/>
          </c:spPr>
          <c:invertIfNegative val="0"/>
          <c:cat>
            <c:strRef>
              <c:f>'Gráficos Planif.'!$B$2:$D$2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'Gráficos Planif.'!$B$7:$D$7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F7B-42AA-93AC-CF4F42644A0D}"/>
            </c:ext>
          </c:extLst>
        </c:ser>
        <c:ser>
          <c:idx val="3"/>
          <c:order val="3"/>
          <c:tx>
            <c:strRef>
              <c:f>'Gráficos Planif.'!$A$3</c:f>
              <c:strCache>
                <c:ptCount val="1"/>
                <c:pt idx="0">
                  <c:v>Porcentaje de expedientes recibidos y archivados listos para digitalizar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chemeClr val="accent6">
                  <a:lumMod val="50000"/>
                </a:schemeClr>
              </a:solidFill>
            </a:ln>
            <a:effectLst/>
          </c:spPr>
          <c:invertIfNegative val="0"/>
          <c:cat>
            <c:strRef>
              <c:f>'Gráficos Planif.'!$B$2:$D$2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'Gráficos Planif.'!$B$3:$D$3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F7B-42AA-93AC-CF4F42644A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43751871"/>
        <c:axId val="531268959"/>
      </c:barChart>
      <c:lineChart>
        <c:grouping val="standard"/>
        <c:varyColors val="0"/>
        <c:ser>
          <c:idx val="0"/>
          <c:order val="0"/>
          <c:tx>
            <c:strRef>
              <c:f>'Gráficos Planif.'!$A$4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F7B-42AA-93AC-CF4F42644A0D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5F7B-42AA-93AC-CF4F42644A0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Planif.'!$B$2:$D$2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'Gráficos Planif.'!$B$4:$D$4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5F7B-42AA-93AC-CF4F42644A0D}"/>
            </c:ext>
          </c:extLst>
        </c:ser>
        <c:ser>
          <c:idx val="4"/>
          <c:order val="4"/>
          <c:tx>
            <c:strRef>
              <c:f>'Gráficos Planif.'!$A$8</c:f>
              <c:strCache>
                <c:ptCount val="1"/>
                <c:pt idx="0">
                  <c:v>Meta Porcentaje de expedientes recogidos y archivados en el tiempo correspondiente</c:v>
                </c:pt>
              </c:strCache>
            </c:strRef>
          </c:tx>
          <c:spPr>
            <a:ln w="28575" cap="rnd">
              <a:solidFill>
                <a:schemeClr val="accent6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5F7B-42AA-93AC-CF4F42644A0D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F7B-42AA-93AC-CF4F42644A0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Planif.'!$B$2:$D$2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'Gráficos Planif.'!$B$8:$D$8</c:f>
              <c:numCache>
                <c:formatCode>0%</c:formatCode>
                <c:ptCount val="3"/>
                <c:pt idx="0">
                  <c:v>0.98</c:v>
                </c:pt>
                <c:pt idx="1">
                  <c:v>0.98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5F7B-42AA-93AC-CF4F42644A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43751871"/>
        <c:axId val="531268959"/>
      </c:lineChart>
      <c:catAx>
        <c:axId val="5437518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31268959"/>
        <c:crosses val="autoZero"/>
        <c:auto val="1"/>
        <c:lblAlgn val="ctr"/>
        <c:lblOffset val="100"/>
        <c:noMultiLvlLbl val="0"/>
      </c:catAx>
      <c:valAx>
        <c:axId val="531268959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4375187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9553548020319542E-2"/>
          <c:y val="0.58906573979623622"/>
          <c:w val="0.88089260717410323"/>
          <c:h val="0.3721114027413239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sz="1100" b="0" i="0" kern="1200" spc="0" baseline="0">
                <a:solidFill>
                  <a:srgbClr val="595959"/>
                </a:solidFill>
                <a:effectLst/>
              </a:rPr>
              <a:t>Indicadores POA 2018</a:t>
            </a:r>
            <a:br>
              <a:rPr lang="es-MX" sz="1100" b="0" i="0" kern="1200" spc="0" baseline="0">
                <a:solidFill>
                  <a:srgbClr val="595959"/>
                </a:solidFill>
                <a:effectLst/>
              </a:rPr>
            </a:br>
            <a:r>
              <a:rPr lang="es-MX" sz="1100" b="0" i="0" kern="1200" spc="0" baseline="0">
                <a:solidFill>
                  <a:srgbClr val="595959"/>
                </a:solidFill>
                <a:effectLst/>
              </a:rPr>
              <a:t>Área: Monitoreo y Calidad</a:t>
            </a:r>
            <a:endParaRPr lang="es-MX" sz="1100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>
        <c:manualLayout>
          <c:layoutTarget val="inner"/>
          <c:xMode val="edge"/>
          <c:yMode val="edge"/>
          <c:x val="9.7122703412073491E-2"/>
          <c:y val="0.17661507002963261"/>
          <c:w val="0.87232174103237092"/>
          <c:h val="0.3952818544598498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'Gráficos Planif.'!$A$23</c:f>
              <c:strCache>
                <c:ptCount val="1"/>
                <c:pt idx="0">
                  <c:v>Porcentaje de documentación (Inclusión y obsolescencia de documentos)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'Gráficos Planif.'!$E$22:$F$22</c:f>
              <c:strCache>
                <c:ptCount val="2"/>
                <c:pt idx="0">
                  <c:v>Abril</c:v>
                </c:pt>
                <c:pt idx="1">
                  <c:v>Mayo</c:v>
                </c:pt>
              </c:strCache>
              <c:extLst/>
            </c:strRef>
          </c:cat>
          <c:val>
            <c:numRef>
              <c:f>'Gráficos Planif.'!$B$23:$D$23</c:f>
              <c:numCache>
                <c:formatCode>0%</c:formatCode>
                <c:ptCount val="2"/>
                <c:pt idx="0">
                  <c:v>0</c:v>
                </c:pt>
                <c:pt idx="1">
                  <c:v>0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41A5-4906-9611-92674455AE9B}"/>
            </c:ext>
          </c:extLst>
        </c:ser>
        <c:ser>
          <c:idx val="1"/>
          <c:order val="1"/>
          <c:tx>
            <c:strRef>
              <c:f>'Gráficos Planif.'!$A$24</c:f>
              <c:strCache>
                <c:ptCount val="1"/>
                <c:pt idx="0">
                  <c:v>Porcentaje de auditorías realizadas con respecto a las programadas.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solidFill>
                <a:schemeClr val="accent1">
                  <a:lumMod val="75000"/>
                </a:schemeClr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5">
                  <a:lumMod val="40000"/>
                  <a:lumOff val="60000"/>
                </a:schemeClr>
              </a:solidFill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41A5-4906-9611-92674455AE9B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5">
                  <a:lumMod val="40000"/>
                  <a:lumOff val="60000"/>
                </a:schemeClr>
              </a:solidFill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4-41A5-4906-9611-92674455AE9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Planif.'!$E$22:$F$22</c:f>
              <c:strCache>
                <c:ptCount val="2"/>
                <c:pt idx="0">
                  <c:v>Abril</c:v>
                </c:pt>
                <c:pt idx="1">
                  <c:v>Mayo</c:v>
                </c:pt>
              </c:strCache>
              <c:extLst/>
            </c:strRef>
          </c:cat>
          <c:val>
            <c:numRef>
              <c:f>'Gráficos Planif.'!$E$24:$F$24</c:f>
              <c:numCache>
                <c:formatCode>0%</c:formatCode>
                <c:ptCount val="2"/>
                <c:pt idx="0">
                  <c:v>1</c:v>
                </c:pt>
                <c:pt idx="1">
                  <c:v>0.67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5-41A5-4906-9611-92674455AE9B}"/>
            </c:ext>
          </c:extLst>
        </c:ser>
        <c:ser>
          <c:idx val="2"/>
          <c:order val="2"/>
          <c:tx>
            <c:strRef>
              <c:f>'Gráficos Planif.'!$A$26</c:f>
              <c:strCache>
                <c:ptCount val="1"/>
                <c:pt idx="0">
                  <c:v>Porcentaje de seguimientos de estandares Carta Compromiso al Ciudadano 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'Gráficos Planif.'!$E$22:$F$22</c:f>
              <c:strCache>
                <c:ptCount val="2"/>
                <c:pt idx="0">
                  <c:v>Abril</c:v>
                </c:pt>
                <c:pt idx="1">
                  <c:v>Mayo</c:v>
                </c:pt>
              </c:strCache>
              <c:extLst/>
            </c:strRef>
          </c:cat>
          <c:val>
            <c:numRef>
              <c:f>'Gráficos Planif.'!$B$26:$D$26</c:f>
              <c:numCache>
                <c:formatCode>0%</c:formatCode>
                <c:ptCount val="2"/>
                <c:pt idx="0">
                  <c:v>0</c:v>
                </c:pt>
                <c:pt idx="1">
                  <c:v>0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6-41A5-4906-9611-92674455AE9B}"/>
            </c:ext>
          </c:extLst>
        </c:ser>
        <c:ser>
          <c:idx val="5"/>
          <c:order val="3"/>
          <c:tx>
            <c:strRef>
              <c:f>'Gráficos Planif.'!$A$27</c:f>
              <c:strCache>
                <c:ptCount val="1"/>
                <c:pt idx="0">
                  <c:v>Porcentaje de reportes de seguimiento y monitoreo de las áreas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solidFill>
                <a:schemeClr val="bg2">
                  <a:lumMod val="1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Planif.'!$E$22:$F$22</c:f>
              <c:strCache>
                <c:ptCount val="2"/>
                <c:pt idx="0">
                  <c:v>Abril</c:v>
                </c:pt>
                <c:pt idx="1">
                  <c:v>Mayo</c:v>
                </c:pt>
              </c:strCache>
              <c:extLst/>
            </c:strRef>
          </c:cat>
          <c:val>
            <c:numRef>
              <c:f>'Gráficos Planif.'!$E$27:$F$27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7-41A5-4906-9611-92674455AE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43732319"/>
        <c:axId val="545350287"/>
      </c:barChart>
      <c:lineChart>
        <c:grouping val="standard"/>
        <c:varyColors val="0"/>
        <c:ser>
          <c:idx val="3"/>
          <c:order val="4"/>
          <c:tx>
            <c:strRef>
              <c:f>'Gráficos Planif.'!$A$28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chemeClr val="accent5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cat>
            <c:strLit>
              <c:ptCount val="2"/>
              <c:pt idx="0">
                <c:v>Abril</c:v>
              </c:pt>
              <c:pt idx="1">
                <c:v>Mayo</c:v>
              </c:pt>
              <c:extLst>
                <c:ext xmlns:c15="http://schemas.microsoft.com/office/drawing/2012/chart" uri="{02D57815-91ED-43cb-92C2-25804820EDAC}">
                  <c15:autoCat val="1"/>
                </c:ext>
              </c:extLst>
            </c:strLit>
          </c:cat>
          <c:val>
            <c:numRef>
              <c:f>'Gráficos Planif.'!$E$28:$F$28</c:f>
              <c:numCache>
                <c:formatCode>0%</c:formatCode>
                <c:ptCount val="2"/>
                <c:pt idx="0">
                  <c:v>1</c:v>
                </c:pt>
                <c:pt idx="1">
                  <c:v>1</c:v>
                </c:pt>
              </c:numCache>
              <c:extLst/>
            </c:numRef>
          </c:val>
          <c:smooth val="0"/>
          <c:extLst>
            <c:ext xmlns:c16="http://schemas.microsoft.com/office/drawing/2014/chart" uri="{C3380CC4-5D6E-409C-BE32-E72D297353CC}">
              <c16:uniqueId val="{00000008-41A5-4906-9611-92674455AE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43732319"/>
        <c:axId val="545350287"/>
      </c:lineChart>
      <c:catAx>
        <c:axId val="5437323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45350287"/>
        <c:crosses val="autoZero"/>
        <c:auto val="1"/>
        <c:lblAlgn val="ctr"/>
        <c:lblOffset val="100"/>
        <c:noMultiLvlLbl val="0"/>
      </c:catAx>
      <c:valAx>
        <c:axId val="545350287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4373231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6.8473534175643627E-2"/>
          <c:y val="0.7224621115908898"/>
          <c:w val="0.67219199225188131"/>
          <c:h val="0.2280717264907481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Indicadores POA 2018</a:t>
            </a:r>
            <a:br>
              <a:rPr lang="es-MX"/>
            </a:br>
            <a:r>
              <a:rPr lang="es-MX"/>
              <a:t>Área:</a:t>
            </a:r>
            <a:r>
              <a:rPr lang="es-MX" baseline="0"/>
              <a:t> Presupuesto</a:t>
            </a:r>
            <a:endParaRPr lang="es-MX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Planif.'!$A$98</c:f>
              <c:strCache>
                <c:ptCount val="1"/>
                <c:pt idx="0">
                  <c:v>Porcentaje de reportes de Ejecución Presupuestaria enviados al SRSM en el plazo establecido.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chemeClr val="accent6">
                  <a:lumMod val="50000"/>
                </a:schemeClr>
              </a:solidFill>
            </a:ln>
            <a:effectLst/>
          </c:spPr>
          <c:invertIfNegative val="0"/>
          <c:cat>
            <c:strRef>
              <c:f>'Gráficos Planif.'!$E$97:$G$97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Planif.'!$E$98:$G$98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E0-487B-B9BA-5B01E63A8B2E}"/>
            </c:ext>
          </c:extLst>
        </c:ser>
        <c:ser>
          <c:idx val="1"/>
          <c:order val="1"/>
          <c:tx>
            <c:strRef>
              <c:f>'Gráficos Planif.'!$A$99</c:f>
              <c:strCache>
                <c:ptCount val="1"/>
                <c:pt idx="0">
                  <c:v>Programación de los procesos presupuestarios realizados a inicio de mes en el SIGEF 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solidFill>
                <a:schemeClr val="accent1">
                  <a:lumMod val="7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Planif.'!$E$97:$G$97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Planif.'!$E$99:$G$99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E0-487B-B9BA-5B01E63A8B2E}"/>
            </c:ext>
          </c:extLst>
        </c:ser>
        <c:ser>
          <c:idx val="2"/>
          <c:order val="2"/>
          <c:tx>
            <c:strRef>
              <c:f>'Gráficos Planif.'!$A$100</c:f>
              <c:strCache>
                <c:ptCount val="1"/>
                <c:pt idx="0">
                  <c:v>Realización de preventivo compromiso de ejecución del gasto en el tiempo oportuno</c:v>
                </c:pt>
              </c:strCache>
            </c:strRef>
          </c:tx>
          <c:spPr>
            <a:solidFill>
              <a:schemeClr val="accent2">
                <a:lumMod val="20000"/>
                <a:lumOff val="80000"/>
              </a:schemeClr>
            </a:solidFill>
            <a:ln>
              <a:solidFill>
                <a:schemeClr val="accent2">
                  <a:lumMod val="7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Planif.'!$E$97:$G$97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Planif.'!$E$100:$G$100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4E0-487B-B9BA-5B01E63A8B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0122223"/>
        <c:axId val="193031231"/>
      </c:barChart>
      <c:lineChart>
        <c:grouping val="standard"/>
        <c:varyColors val="0"/>
        <c:ser>
          <c:idx val="3"/>
          <c:order val="3"/>
          <c:tx>
            <c:strRef>
              <c:f>'Gráficos Planif.'!$A$101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chemeClr val="accent1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'Gráficos Planif.'!$E$97:$G$97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Planif.'!$E$101:$G$101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D4E0-487B-B9BA-5B01E63A8B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0122223"/>
        <c:axId val="193031231"/>
      </c:lineChart>
      <c:catAx>
        <c:axId val="1701222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93031231"/>
        <c:crosses val="autoZero"/>
        <c:auto val="1"/>
        <c:lblAlgn val="ctr"/>
        <c:lblOffset val="100"/>
        <c:noMultiLvlLbl val="0"/>
      </c:catAx>
      <c:valAx>
        <c:axId val="19303123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7012222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s-MX" sz="1100"/>
              <a:t>Indicadores POA 2018</a:t>
            </a:r>
            <a:br>
              <a:rPr lang="es-MX" sz="1100"/>
            </a:br>
            <a:r>
              <a:rPr lang="es-MX" sz="1100"/>
              <a:t>Indicador transversal</a:t>
            </a:r>
            <a:br>
              <a:rPr lang="es-MX" sz="1100"/>
            </a:br>
            <a:r>
              <a:rPr lang="es-MX" sz="1100"/>
              <a:t>Área: Planificación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Planif.'!$A$76</c:f>
              <c:strCache>
                <c:ptCount val="1"/>
                <c:pt idx="0">
                  <c:v>Porcentaje de Informes de cumplimiento del POA realizados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solidFill>
                <a:schemeClr val="accent2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Planif.'!$C$75</c:f>
              <c:strCache>
                <c:ptCount val="1"/>
                <c:pt idx="0">
                  <c:v>Abril- Junio 2018</c:v>
                </c:pt>
              </c:strCache>
            </c:strRef>
          </c:cat>
          <c:val>
            <c:numRef>
              <c:f>'Gráficos Planif.'!$C$76</c:f>
              <c:numCache>
                <c:formatCode>0%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533-4DC6-8F9F-79F286C38A3D}"/>
            </c:ext>
          </c:extLst>
        </c:ser>
        <c:ser>
          <c:idx val="1"/>
          <c:order val="1"/>
          <c:tx>
            <c:strRef>
              <c:f>'Gráficos Planif.'!$A$77</c:f>
              <c:strCache>
                <c:ptCount val="1"/>
                <c:pt idx="0">
                  <c:v>Actualización del Balance Scorecard</c:v>
                </c:pt>
              </c:strCache>
            </c:strRef>
          </c:tx>
          <c:spPr>
            <a:solidFill>
              <a:schemeClr val="accent6">
                <a:lumMod val="20000"/>
                <a:lumOff val="80000"/>
              </a:schemeClr>
            </a:solidFill>
            <a:ln>
              <a:solidFill>
                <a:schemeClr val="accent6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Planif.'!$C$75</c:f>
              <c:strCache>
                <c:ptCount val="1"/>
                <c:pt idx="0">
                  <c:v>Abril- Junio 2018</c:v>
                </c:pt>
              </c:strCache>
            </c:strRef>
          </c:cat>
          <c:val>
            <c:numRef>
              <c:f>'Gráficos Planif.'!$C$77</c:f>
              <c:numCache>
                <c:formatCode>0%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533-4DC6-8F9F-79F286C38A3D}"/>
            </c:ext>
          </c:extLst>
        </c:ser>
        <c:ser>
          <c:idx val="2"/>
          <c:order val="2"/>
          <c:tx>
            <c:strRef>
              <c:f>'Gráficos Planif.'!$A$78</c:f>
              <c:strCache>
                <c:ptCount val="1"/>
                <c:pt idx="0">
                  <c:v>Porcentaje de Informes de Análisis del Contexto externo e interno de la institución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'Gráficos Planif.'!$C$75</c:f>
              <c:strCache>
                <c:ptCount val="1"/>
                <c:pt idx="0">
                  <c:v>Abril- Junio 2018</c:v>
                </c:pt>
              </c:strCache>
            </c:strRef>
          </c:cat>
          <c:val>
            <c:numRef>
              <c:f>'Gráficos Planif.'!$C$78</c:f>
              <c:numCache>
                <c:formatCode>0%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533-4DC6-8F9F-79F286C38A3D}"/>
            </c:ext>
          </c:extLst>
        </c:ser>
        <c:ser>
          <c:idx val="3"/>
          <c:order val="3"/>
          <c:tx>
            <c:strRef>
              <c:f>'Gráficos Planif.'!$A$79</c:f>
              <c:strCache>
                <c:ptCount val="1"/>
                <c:pt idx="0">
                  <c:v>Porcentaje de auditorías al SGC realizadas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'Gráficos Planif.'!$C$75</c:f>
              <c:strCache>
                <c:ptCount val="1"/>
                <c:pt idx="0">
                  <c:v>Abril- Junio 2018</c:v>
                </c:pt>
              </c:strCache>
            </c:strRef>
          </c:cat>
          <c:val>
            <c:numRef>
              <c:f>'Gráficos Planif.'!$C$79</c:f>
              <c:numCache>
                <c:formatCode>0%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533-4DC6-8F9F-79F286C38A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9751215"/>
        <c:axId val="167232399"/>
      </c:barChart>
      <c:catAx>
        <c:axId val="15975121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67232399"/>
        <c:crosses val="autoZero"/>
        <c:auto val="1"/>
        <c:lblAlgn val="ctr"/>
        <c:lblOffset val="100"/>
        <c:noMultiLvlLbl val="0"/>
      </c:catAx>
      <c:valAx>
        <c:axId val="167232399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5975121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s-MX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"/>
              <a:t>Indicadores POA 2018</a:t>
            </a:r>
          </a:p>
          <a:p>
            <a:pPr>
              <a:defRPr/>
            </a:pPr>
            <a:r>
              <a:rPr lang="es-ES"/>
              <a:t>Area: Contabilidad</a:t>
            </a:r>
          </a:p>
          <a:p>
            <a:pPr>
              <a:defRPr/>
            </a:pPr>
            <a:r>
              <a:rPr lang="es-ES"/>
              <a:t>Indice</a:t>
            </a:r>
            <a:r>
              <a:rPr lang="es-ES" baseline="0"/>
              <a:t> de Rotacion de cuentas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financiera'!$A$4</c:f>
              <c:strCache>
                <c:ptCount val="1"/>
                <c:pt idx="0">
                  <c:v>Indice de Rotación de las cuentas por pagar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financiera'!$E$3:$G$3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financiera'!$E$4:$G$4</c:f>
              <c:numCache>
                <c:formatCode>General</c:formatCode>
                <c:ptCount val="3"/>
                <c:pt idx="0">
                  <c:v>0.12</c:v>
                </c:pt>
                <c:pt idx="1">
                  <c:v>0.15</c:v>
                </c:pt>
                <c:pt idx="2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F8-4075-9168-C2B18E2868F8}"/>
            </c:ext>
          </c:extLst>
        </c:ser>
        <c:ser>
          <c:idx val="2"/>
          <c:order val="2"/>
          <c:tx>
            <c:strRef>
              <c:f>'Gráficos financiera'!$A$6</c:f>
              <c:strCache>
                <c:ptCount val="1"/>
                <c:pt idx="0">
                  <c:v>Indice de Rotación de las cuentas por cobrar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'Gráficos financiera'!$E$3:$G$3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financiera'!$E$6:$G$6</c:f>
              <c:numCache>
                <c:formatCode>General</c:formatCode>
                <c:ptCount val="3"/>
                <c:pt idx="0">
                  <c:v>0.31</c:v>
                </c:pt>
                <c:pt idx="1">
                  <c:v>0.37</c:v>
                </c:pt>
                <c:pt idx="2">
                  <c:v>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AF8-4075-9168-C2B18E2868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196300767"/>
        <c:axId val="191567103"/>
      </c:barChart>
      <c:lineChart>
        <c:grouping val="standard"/>
        <c:varyColors val="0"/>
        <c:ser>
          <c:idx val="1"/>
          <c:order val="1"/>
          <c:tx>
            <c:strRef>
              <c:f>'Gráficos financiera'!$A$5</c:f>
              <c:strCache>
                <c:ptCount val="1"/>
                <c:pt idx="0">
                  <c:v>Meta indice de Rotación de las cuentas por pagar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financiera'!$E$3:$G$3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financiera'!$E$5:$G$5</c:f>
              <c:numCache>
                <c:formatCode>0.00</c:formatCode>
                <c:ptCount val="3"/>
                <c:pt idx="0">
                  <c:v>0.1</c:v>
                </c:pt>
                <c:pt idx="1">
                  <c:v>0.1</c:v>
                </c:pt>
                <c:pt idx="2">
                  <c:v>0.1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AF8-4075-9168-C2B18E2868F8}"/>
            </c:ext>
          </c:extLst>
        </c:ser>
        <c:ser>
          <c:idx val="3"/>
          <c:order val="3"/>
          <c:tx>
            <c:strRef>
              <c:f>'Gráficos financiera'!$A$7</c:f>
              <c:strCache>
                <c:ptCount val="1"/>
                <c:pt idx="0">
                  <c:v>Meta indice de Rotación de las cuentas por cobrar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'Gráficos financiera'!$E$3:$G$3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financiera'!$E$7:$G$7</c:f>
              <c:numCache>
                <c:formatCode>0.00</c:formatCode>
                <c:ptCount val="3"/>
                <c:pt idx="0">
                  <c:v>0.6</c:v>
                </c:pt>
                <c:pt idx="1">
                  <c:v>0.6</c:v>
                </c:pt>
                <c:pt idx="2">
                  <c:v>0.6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7AF8-4075-9168-C2B18E2868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6300767"/>
        <c:axId val="191567103"/>
      </c:lineChart>
      <c:catAx>
        <c:axId val="1963007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91567103"/>
        <c:crosses val="autoZero"/>
        <c:auto val="1"/>
        <c:lblAlgn val="ctr"/>
        <c:lblOffset val="100"/>
        <c:noMultiLvlLbl val="0"/>
      </c:catAx>
      <c:valAx>
        <c:axId val="19156710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9630076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Indicadores</a:t>
            </a:r>
            <a:r>
              <a:rPr lang="en-US" baseline="0"/>
              <a:t> POA2018</a:t>
            </a:r>
          </a:p>
          <a:p>
            <a:pPr>
              <a:defRPr/>
            </a:pPr>
            <a:r>
              <a:rPr lang="en-US" baseline="0"/>
              <a:t>Area: Contabilidad</a:t>
            </a:r>
          </a:p>
          <a:p>
            <a:pPr>
              <a:defRPr/>
            </a:pPr>
            <a:r>
              <a:rPr lang="en-US" baseline="0"/>
              <a:t>Estados Financieros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financiera'!$A$8</c:f>
              <c:strCache>
                <c:ptCount val="1"/>
                <c:pt idx="0">
                  <c:v>Estados financieros a tiempos entregados a transparencia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'Gráficos financiera'!$E$3:$G$3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financiera'!$E$8:$G$8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74-441F-8173-399DEB908A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9758703"/>
        <c:axId val="195944399"/>
      </c:barChart>
      <c:lineChart>
        <c:grouping val="standard"/>
        <c:varyColors val="0"/>
        <c:ser>
          <c:idx val="1"/>
          <c:order val="1"/>
          <c:tx>
            <c:strRef>
              <c:f>'Gráficos financiera'!$A$9</c:f>
              <c:strCache>
                <c:ptCount val="1"/>
                <c:pt idx="0">
                  <c:v>Meta estados financieros a tiempos entregados a transparencia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'Gráficos financiera'!$E$9:$G$9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774-441F-8173-399DEB908A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9758703"/>
        <c:axId val="195944399"/>
      </c:lineChart>
      <c:catAx>
        <c:axId val="1597587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95944399"/>
        <c:crosses val="autoZero"/>
        <c:auto val="1"/>
        <c:lblAlgn val="ctr"/>
        <c:lblOffset val="100"/>
        <c:noMultiLvlLbl val="0"/>
      </c:catAx>
      <c:valAx>
        <c:axId val="195944399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597587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Indicadores POA 2018</a:t>
            </a:r>
            <a:br>
              <a:rPr lang="es-MX"/>
            </a:br>
            <a:r>
              <a:rPr lang="es-MX"/>
              <a:t>Área: Facturación</a:t>
            </a:r>
            <a:endParaRPr lang="es-ES"/>
          </a:p>
          <a:p>
            <a:pPr>
              <a:defRPr/>
            </a:pPr>
            <a:r>
              <a:rPr lang="es-ES"/>
              <a:t>Total de facturas realizadas y anuladas.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financiera'!$A$41</c:f>
              <c:strCache>
                <c:ptCount val="1"/>
                <c:pt idx="0">
                  <c:v>Cantidad de facturas 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'Gráficos financiera'!$E$39:$G$39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financiera'!$E$41:$G$41</c:f>
              <c:numCache>
                <c:formatCode>General</c:formatCode>
                <c:ptCount val="3"/>
                <c:pt idx="0">
                  <c:v>14860</c:v>
                </c:pt>
                <c:pt idx="1">
                  <c:v>19013</c:v>
                </c:pt>
                <c:pt idx="2">
                  <c:v>15325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B42-47FE-909F-BB47C47ECF8C}"/>
            </c:ext>
          </c:extLst>
        </c:ser>
        <c:ser>
          <c:idx val="1"/>
          <c:order val="1"/>
          <c:tx>
            <c:strRef>
              <c:f>'Gráficos financiera'!$A$40</c:f>
              <c:strCache>
                <c:ptCount val="1"/>
                <c:pt idx="0">
                  <c:v>Cantidad de facturas anuladas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'Gráficos financiera'!$E$39:$G$39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financiera'!$E$40:$G$40</c:f>
              <c:numCache>
                <c:formatCode>General</c:formatCode>
                <c:ptCount val="3"/>
                <c:pt idx="0">
                  <c:v>517</c:v>
                </c:pt>
                <c:pt idx="1">
                  <c:v>545</c:v>
                </c:pt>
                <c:pt idx="2">
                  <c:v>498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B42-47FE-909F-BB47C47ECF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39498719"/>
        <c:axId val="1538340527"/>
      </c:barChart>
      <c:catAx>
        <c:axId val="15394987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538340527"/>
        <c:crosses val="autoZero"/>
        <c:auto val="1"/>
        <c:lblAlgn val="ctr"/>
        <c:lblOffset val="100"/>
        <c:noMultiLvlLbl val="0"/>
      </c:catAx>
      <c:valAx>
        <c:axId val="153834052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53949871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s-MX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  <a:t>Indicadores POA 2018</a:t>
            </a:r>
            <a:br>
              <a:rPr lang="es-MX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</a:br>
            <a:r>
              <a:rPr lang="es-MX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  <a:t>Área: Reclamaciones de Seguros</a:t>
            </a:r>
            <a:endParaRPr lang="en-US"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endParaRPr>
          </a:p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>
                <a:solidFill>
                  <a:sysClr val="windowText" lastClr="000000">
                    <a:lumMod val="65000"/>
                    <a:lumOff val="35000"/>
                  </a:sysClr>
                </a:solidFill>
              </a:defRPr>
            </a:pPr>
            <a:r>
              <a:rPr lang="en-US"/>
              <a:t>Facturas pendientes por reclamar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financiera'!$A$75</c:f>
              <c:strCache>
                <c:ptCount val="1"/>
                <c:pt idx="0">
                  <c:v>Facturas pendientes por reclamar 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'Gráficos financiera'!$E$72:$G$72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financiera'!$E$75:$G$75</c:f>
              <c:numCache>
                <c:formatCode>General</c:formatCode>
                <c:ptCount val="3"/>
                <c:pt idx="0">
                  <c:v>280</c:v>
                </c:pt>
                <c:pt idx="1">
                  <c:v>1413</c:v>
                </c:pt>
                <c:pt idx="2">
                  <c:v>1750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8DB-4209-BE31-C6073A8BC6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31448303"/>
        <c:axId val="1538347007"/>
      </c:barChart>
      <c:catAx>
        <c:axId val="14314483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538347007"/>
        <c:crosses val="autoZero"/>
        <c:auto val="1"/>
        <c:lblAlgn val="ctr"/>
        <c:lblOffset val="100"/>
        <c:noMultiLvlLbl val="0"/>
      </c:catAx>
      <c:valAx>
        <c:axId val="153834700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4314483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s-MX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  <a:t>Indicadores POA 2018</a:t>
            </a:r>
            <a:br>
              <a:rPr lang="es-MX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</a:br>
            <a:r>
              <a:rPr lang="es-MX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  <a:t>Área: Reclamaciones de Seguros</a:t>
            </a:r>
            <a:r>
              <a:rPr lang="en-US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  <a:t> </a:t>
            </a:r>
          </a:p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>
                <a:solidFill>
                  <a:sysClr val="windowText" lastClr="000000">
                    <a:lumMod val="65000"/>
                    <a:lumOff val="35000"/>
                  </a:sysClr>
                </a:solidFill>
              </a:defRPr>
            </a:pPr>
            <a:r>
              <a:rPr lang="en-US"/>
              <a:t>Monto pendientes por reclamar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financiera'!$A$73</c:f>
              <c:strCache>
                <c:ptCount val="1"/>
                <c:pt idx="0">
                  <c:v> Monto pendientes por reclamar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'Gráficos financiera'!$E$72:$G$72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financiera'!$E$73:$G$73</c:f>
              <c:numCache>
                <c:formatCode>General</c:formatCode>
                <c:ptCount val="3"/>
                <c:pt idx="0">
                  <c:v>280</c:v>
                </c:pt>
                <c:pt idx="1">
                  <c:v>1413</c:v>
                </c:pt>
                <c:pt idx="2">
                  <c:v>1750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BCE-4D8D-8763-68ECA31C49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36052447"/>
        <c:axId val="1241076863"/>
      </c:barChart>
      <c:catAx>
        <c:axId val="14360524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241076863"/>
        <c:crosses val="autoZero"/>
        <c:auto val="1"/>
        <c:lblAlgn val="ctr"/>
        <c:lblOffset val="100"/>
        <c:noMultiLvlLbl val="0"/>
      </c:catAx>
      <c:valAx>
        <c:axId val="124107686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43605244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financiera'!$A$76</c:f>
              <c:strCache>
                <c:ptCount val="1"/>
                <c:pt idx="0">
                  <c:v>Porcentaje de cumplimiento del plan de actualización de tarifarios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'Gráficos financiera'!$E$72:$G$72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financiera'!$E$76:$G$76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8A0-487E-AAAF-716EE14EEF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39626159"/>
        <c:axId val="1538328431"/>
      </c:barChart>
      <c:catAx>
        <c:axId val="153962615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538328431"/>
        <c:crosses val="autoZero"/>
        <c:auto val="1"/>
        <c:lblAlgn val="ctr"/>
        <c:lblOffset val="100"/>
        <c:noMultiLvlLbl val="0"/>
      </c:catAx>
      <c:valAx>
        <c:axId val="1538328431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53962615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s-MX" sz="1100"/>
              <a:t>Indicadores POA 2018</a:t>
            </a:r>
            <a:br>
              <a:rPr lang="es-MX" sz="1100"/>
            </a:br>
            <a:r>
              <a:rPr lang="es-MX" sz="1100"/>
              <a:t>Área: Activos Fijos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financiera'!$A$57</c:f>
              <c:strCache>
                <c:ptCount val="1"/>
                <c:pt idx="0">
                  <c:v>Nivel de cumplimiento del programa de carga y descarga de activo fijo en el sistema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financiera'!$E$56:$G$56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financiera'!$E$57:$G$57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BC5-4CE0-9582-7726640576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06849791"/>
        <c:axId val="531264639"/>
      </c:barChart>
      <c:lineChart>
        <c:grouping val="standard"/>
        <c:varyColors val="0"/>
        <c:ser>
          <c:idx val="1"/>
          <c:order val="1"/>
          <c:tx>
            <c:strRef>
              <c:f>'Gráficos financiera'!$A$58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'Gráficos financiera'!$E$56:$G$56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financiera'!$E$58:$G$58</c:f>
              <c:numCache>
                <c:formatCode>0%</c:formatCode>
                <c:ptCount val="3"/>
                <c:pt idx="0">
                  <c:v>0.9</c:v>
                </c:pt>
                <c:pt idx="1">
                  <c:v>0.9</c:v>
                </c:pt>
                <c:pt idx="2">
                  <c:v>0.9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BC5-4CE0-9582-7726640576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06849791"/>
        <c:axId val="531264639"/>
      </c:lineChart>
      <c:catAx>
        <c:axId val="70684979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31264639"/>
        <c:crosses val="autoZero"/>
        <c:auto val="1"/>
        <c:lblAlgn val="ctr"/>
        <c:lblOffset val="100"/>
        <c:noMultiLvlLbl val="0"/>
      </c:catAx>
      <c:valAx>
        <c:axId val="5312646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70684979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s-MX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s-MX" sz="1100" b="0" i="0" baseline="0">
                <a:effectLst/>
              </a:rPr>
              <a:t>Indicadores POA 2018</a:t>
            </a:r>
            <a:br>
              <a:rPr lang="es-MX" sz="1100" b="0" i="0" baseline="0">
                <a:effectLst/>
              </a:rPr>
            </a:br>
            <a:r>
              <a:rPr lang="es-MX" sz="1100" b="0" i="0" baseline="0">
                <a:effectLst/>
              </a:rPr>
              <a:t>Área: </a:t>
            </a:r>
            <a:r>
              <a:rPr lang="es-ES" sz="1100" b="0" i="0" baseline="0">
                <a:effectLst/>
              </a:rPr>
              <a:t>Seguridad</a:t>
            </a:r>
            <a:endParaRPr lang="en-US" sz="1100"/>
          </a:p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>
                <a:solidFill>
                  <a:sysClr val="windowText" lastClr="000000">
                    <a:lumMod val="65000"/>
                    <a:lumOff val="35000"/>
                  </a:sysClr>
                </a:solidFill>
              </a:defRPr>
            </a:pPr>
            <a:r>
              <a:rPr lang="en-US" sz="1100"/>
              <a:t>Porcentaje de empleados fijos de nuevo ingreso con carnet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Dir Gen'!$A$125</c:f>
              <c:strCache>
                <c:ptCount val="1"/>
                <c:pt idx="0">
                  <c:v>Porcentaje de empleados de nuevo ingreso con carnet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'Gráficos Dir Gen'!$E$124:$F$124</c:f>
              <c:strCache>
                <c:ptCount val="2"/>
                <c:pt idx="0">
                  <c:v>Abril</c:v>
                </c:pt>
                <c:pt idx="1">
                  <c:v>Mayo</c:v>
                </c:pt>
              </c:strCache>
            </c:strRef>
          </c:cat>
          <c:val>
            <c:numRef>
              <c:f>'Gráficos Dir Gen'!$E$125:$F$125</c:f>
              <c:numCache>
                <c:formatCode>0%</c:formatCode>
                <c:ptCount val="2"/>
                <c:pt idx="0">
                  <c:v>1.38</c:v>
                </c:pt>
                <c:pt idx="1">
                  <c:v>0.79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ED-4E31-B903-F7FBF818B4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39465199"/>
        <c:axId val="1431202719"/>
      </c:barChart>
      <c:catAx>
        <c:axId val="14394651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431202719"/>
        <c:crosses val="autoZero"/>
        <c:auto val="1"/>
        <c:lblAlgn val="ctr"/>
        <c:lblOffset val="100"/>
        <c:noMultiLvlLbl val="0"/>
      </c:catAx>
      <c:valAx>
        <c:axId val="1431202719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4394651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s-MX" sz="1600" b="0" i="0" baseline="0">
                <a:effectLst/>
              </a:rPr>
              <a:t>Indicadores POA 2018</a:t>
            </a:r>
            <a:br>
              <a:rPr lang="es-MX" sz="1600" b="0" i="0" baseline="0">
                <a:effectLst/>
              </a:rPr>
            </a:br>
            <a:r>
              <a:rPr lang="es-MX" sz="1600" b="0" i="0" baseline="0">
                <a:effectLst/>
              </a:rPr>
              <a:t>Área: OAI</a:t>
            </a:r>
            <a:endParaRPr lang="es-ES" sz="1200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Dir Gen'!$A$105</c:f>
              <c:strCache>
                <c:ptCount val="1"/>
                <c:pt idx="0">
                  <c:v>Porcentaje de solicitudes de acceso a la información atendidas dentro del estándar establecido.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'Gráficos Dir Gen'!$E$104:$G$104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  <c:extLst/>
            </c:strRef>
          </c:cat>
          <c:val>
            <c:numRef>
              <c:f>'Gráficos Dir Gen'!$B$105:$E$105</c:f>
              <c:numCache>
                <c:formatCode>0%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1975-41EF-8381-82C3F767D707}"/>
            </c:ext>
          </c:extLst>
        </c:ser>
        <c:ser>
          <c:idx val="1"/>
          <c:order val="1"/>
          <c:tx>
            <c:strRef>
              <c:f>'Gráficos Dir Gen'!$A$107</c:f>
              <c:strCache>
                <c:ptCount val="1"/>
                <c:pt idx="0">
                  <c:v>Cumplimiento con la actualización a tiempo del portal de transparencia.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'Gráficos Dir Gen'!$E$104:$G$104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  <c:extLst/>
            </c:strRef>
          </c:cat>
          <c:val>
            <c:numRef>
              <c:f>'Gráficos Dir Gen'!$E$107:$G$107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1975-41EF-8381-82C3F767D7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39460623"/>
        <c:axId val="1529813231"/>
      </c:barChart>
      <c:catAx>
        <c:axId val="14394606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529813231"/>
        <c:crosses val="autoZero"/>
        <c:auto val="1"/>
        <c:lblAlgn val="ctr"/>
        <c:lblOffset val="100"/>
        <c:noMultiLvlLbl val="0"/>
      </c:catAx>
      <c:valAx>
        <c:axId val="1529813231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43946062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Indicadores</a:t>
            </a:r>
            <a:r>
              <a:rPr lang="es-MX" baseline="0"/>
              <a:t> POA 2018</a:t>
            </a:r>
            <a:br>
              <a:rPr lang="es-MX" baseline="0"/>
            </a:br>
            <a:r>
              <a:rPr lang="es-MX" baseline="0"/>
              <a:t>Área: Prensa y Relaciones Públicas</a:t>
            </a:r>
            <a:endParaRPr lang="es-MX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Dir Gen'!$A$3</c:f>
              <c:strCache>
                <c:ptCount val="1"/>
                <c:pt idx="0">
                  <c:v>Nivel de cumplimiento del plan de comunicaciones.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7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Dir Gen'!$E$2:$G$2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Gen'!$E$3:$G$3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886-40C5-A0DC-C1B18287C6A9}"/>
            </c:ext>
          </c:extLst>
        </c:ser>
        <c:ser>
          <c:idx val="2"/>
          <c:order val="2"/>
          <c:tx>
            <c:strRef>
              <c:f>'Gráficos Dir Gen'!$A$7</c:f>
              <c:strCache>
                <c:ptCount val="1"/>
                <c:pt idx="0">
                  <c:v>Porcentaje de solictudes de diseño gráfico realizados en tiempo oportuno</c:v>
                </c:pt>
              </c:strCache>
            </c:strRef>
          </c:tx>
          <c:spPr>
            <a:solidFill>
              <a:schemeClr val="accent2">
                <a:lumMod val="20000"/>
                <a:lumOff val="80000"/>
              </a:schemeClr>
            </a:solidFill>
            <a:ln>
              <a:solidFill>
                <a:schemeClr val="accent2">
                  <a:lumMod val="7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Dir Gen'!$E$2:$G$2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Gen'!$E$7:$G$7</c:f>
              <c:numCache>
                <c:formatCode>0%</c:formatCode>
                <c:ptCount val="3"/>
                <c:pt idx="0">
                  <c:v>1.1666666666666667</c:v>
                </c:pt>
                <c:pt idx="1">
                  <c:v>1.1666666666666667</c:v>
                </c:pt>
                <c:pt idx="2">
                  <c:v>1.1666666666666667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886-40C5-A0DC-C1B18287C6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7830592"/>
        <c:axId val="91331696"/>
      </c:barChart>
      <c:lineChart>
        <c:grouping val="standard"/>
        <c:varyColors val="0"/>
        <c:ser>
          <c:idx val="1"/>
          <c:order val="1"/>
          <c:tx>
            <c:strRef>
              <c:f>'Gráficos Dir Gen'!$A$4</c:f>
              <c:strCache>
                <c:ptCount val="1"/>
                <c:pt idx="0">
                  <c:v>Meta cumplimiento del plan de comunicaciones.</c:v>
                </c:pt>
              </c:strCache>
            </c:strRef>
          </c:tx>
          <c:spPr>
            <a:ln w="28575" cap="rnd">
              <a:solidFill>
                <a:schemeClr val="accent1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'Gráficos Dir Gen'!$E$2:$G$2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Gen'!$B$4:$D$4</c:f>
              <c:numCache>
                <c:formatCode>0%</c:formatCode>
                <c:ptCount val="3"/>
                <c:pt idx="0">
                  <c:v>0.9</c:v>
                </c:pt>
                <c:pt idx="1">
                  <c:v>0.9</c:v>
                </c:pt>
                <c:pt idx="2">
                  <c:v>0.9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886-40C5-A0DC-C1B18287C6A9}"/>
            </c:ext>
          </c:extLst>
        </c:ser>
        <c:ser>
          <c:idx val="3"/>
          <c:order val="3"/>
          <c:tx>
            <c:strRef>
              <c:f>'Gráficos Dir Gen'!$A$8</c:f>
              <c:strCache>
                <c:ptCount val="1"/>
                <c:pt idx="0">
                  <c:v>Meta solictudes de diseño gráfico realizados en tiempo oportuno</c:v>
                </c:pt>
              </c:strCache>
            </c:strRef>
          </c:tx>
          <c:spPr>
            <a:ln w="28575" cap="rnd">
              <a:solidFill>
                <a:schemeClr val="accent2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'Gráficos Dir Gen'!$E$2:$G$2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Gen'!$E$8:$G$8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886-40C5-A0DC-C1B18287C6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7830592"/>
        <c:axId val="91331696"/>
      </c:lineChart>
      <c:catAx>
        <c:axId val="1878305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91331696"/>
        <c:crosses val="autoZero"/>
        <c:auto val="1"/>
        <c:lblAlgn val="ctr"/>
        <c:lblOffset val="100"/>
        <c:noMultiLvlLbl val="0"/>
      </c:catAx>
      <c:valAx>
        <c:axId val="91331696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878305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Indicadores POA 2018</a:t>
            </a:r>
            <a:br>
              <a:rPr lang="es-MX"/>
            </a:br>
            <a:r>
              <a:rPr lang="es-MX"/>
              <a:t>Área: Atención al Usuario</a:t>
            </a:r>
            <a:br>
              <a:rPr lang="es-MX"/>
            </a:br>
            <a:r>
              <a:rPr lang="es-MX"/>
              <a:t>Porcentaje de llamadas atendidas con respecto a las recibidas.</a:t>
            </a:r>
            <a:br>
              <a:rPr lang="es-MX"/>
            </a:br>
            <a:r>
              <a:rPr lang="es-MX"/>
              <a:t>Abril-</a:t>
            </a:r>
            <a:r>
              <a:rPr lang="es-MX" baseline="0"/>
              <a:t> Junio</a:t>
            </a:r>
            <a:r>
              <a:rPr lang="es-MX"/>
              <a:t> 2018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Dir Gen'!$A$29</c:f>
              <c:strCache>
                <c:ptCount val="1"/>
                <c:pt idx="0">
                  <c:v>Porcentaje de llamadas atendidas con respecto a las recibidas.</c:v>
                </c:pt>
              </c:strCache>
            </c:strRef>
          </c:tx>
          <c:spPr>
            <a:solidFill>
              <a:schemeClr val="accent6">
                <a:lumMod val="20000"/>
                <a:lumOff val="80000"/>
              </a:schemeClr>
            </a:solidFill>
            <a:ln>
              <a:solidFill>
                <a:schemeClr val="accent6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Dir Gen'!$E$28:$G$28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Gen'!$E$29:$G$29</c:f>
              <c:numCache>
                <c:formatCode>0%</c:formatCode>
                <c:ptCount val="3"/>
                <c:pt idx="0">
                  <c:v>0.63</c:v>
                </c:pt>
                <c:pt idx="1">
                  <c:v>0.71</c:v>
                </c:pt>
                <c:pt idx="2">
                  <c:v>0.76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FC6-4622-99CF-1D4AA5039D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5458095"/>
        <c:axId val="197702831"/>
      </c:barChart>
      <c:lineChart>
        <c:grouping val="standard"/>
        <c:varyColors val="0"/>
        <c:ser>
          <c:idx val="1"/>
          <c:order val="1"/>
          <c:tx>
            <c:strRef>
              <c:f>'Gráficos Dir Gen'!$A$30</c:f>
              <c:strCache>
                <c:ptCount val="1"/>
                <c:pt idx="0">
                  <c:v>Meta porcentaje de llamadas atendidas con respecto a las recibidas.</c:v>
                </c:pt>
              </c:strCache>
            </c:strRef>
          </c:tx>
          <c:spPr>
            <a:ln w="28575" cap="rnd">
              <a:solidFill>
                <a:schemeClr val="accent6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'Gráficos Dir Gen'!$E$28:$G$28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Gen'!$E$30:$G$30</c:f>
              <c:numCache>
                <c:formatCode>0%</c:formatCode>
                <c:ptCount val="3"/>
                <c:pt idx="0">
                  <c:v>0.95</c:v>
                </c:pt>
                <c:pt idx="1">
                  <c:v>0.95</c:v>
                </c:pt>
                <c:pt idx="2">
                  <c:v>0.95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FC6-4622-99CF-1D4AA5039D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5458095"/>
        <c:axId val="197702831"/>
      </c:lineChart>
      <c:catAx>
        <c:axId val="1954580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97702831"/>
        <c:crosses val="autoZero"/>
        <c:auto val="1"/>
        <c:lblAlgn val="ctr"/>
        <c:lblOffset val="100"/>
        <c:noMultiLvlLbl val="0"/>
      </c:catAx>
      <c:valAx>
        <c:axId val="197702831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9545809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s-MX"/>
    </a:p>
  </c:txPr>
  <c:externalData r:id="rId3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sz="1400" b="0" i="0" kern="1200" spc="0" baseline="0">
                <a:solidFill>
                  <a:srgbClr val="000000"/>
                </a:solidFill>
                <a:effectLst/>
              </a:rPr>
              <a:t>Indicadores POA 2018</a:t>
            </a:r>
            <a:br>
              <a:rPr lang="es-MX" sz="1400" b="0" i="0" kern="1200" spc="0" baseline="0">
                <a:solidFill>
                  <a:srgbClr val="000000"/>
                </a:solidFill>
                <a:effectLst/>
              </a:rPr>
            </a:br>
            <a:r>
              <a:rPr lang="es-MX" sz="1400" b="0" i="0" kern="1200" spc="0" baseline="0">
                <a:solidFill>
                  <a:srgbClr val="000000"/>
                </a:solidFill>
                <a:effectLst/>
              </a:rPr>
              <a:t>Área: Atención al Usuario</a:t>
            </a:r>
            <a:br>
              <a:rPr lang="es-MX" sz="1400" b="0" i="0" kern="1200" spc="0" baseline="0">
                <a:solidFill>
                  <a:srgbClr val="000000"/>
                </a:solidFill>
                <a:effectLst/>
              </a:rPr>
            </a:br>
            <a:r>
              <a:rPr lang="es-MX" sz="1400" b="0" i="0" kern="1200" spc="0" baseline="0">
                <a:solidFill>
                  <a:srgbClr val="000000"/>
                </a:solidFill>
                <a:effectLst/>
              </a:rPr>
              <a:t>Porcentaje de citas anuladas con respecto a las programadas.</a:t>
            </a:r>
            <a:br>
              <a:rPr lang="es-MX" sz="1400" b="0" i="0" kern="1200" spc="0" baseline="0">
                <a:solidFill>
                  <a:srgbClr val="000000"/>
                </a:solidFill>
                <a:effectLst/>
              </a:rPr>
            </a:br>
            <a:r>
              <a:rPr lang="es-MX" sz="1400" b="0" i="0" kern="1200" spc="0" baseline="0">
                <a:solidFill>
                  <a:srgbClr val="000000"/>
                </a:solidFill>
                <a:effectLst/>
              </a:rPr>
              <a:t>Abril- Junio 2018</a:t>
            </a:r>
            <a:endParaRPr lang="es-MX">
              <a:effectLst/>
            </a:endParaRPr>
          </a:p>
        </c:rich>
      </c:tx>
      <c:layout>
        <c:manualLayout>
          <c:xMode val="edge"/>
          <c:yMode val="edge"/>
          <c:x val="0.10309579439252337"/>
          <c:y val="3.219747786423397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Dir Gen'!$A$33</c:f>
              <c:strCache>
                <c:ptCount val="1"/>
                <c:pt idx="0">
                  <c:v>Porcentaje de citas anuladas con respecto a las programadas.</c:v>
                </c:pt>
              </c:strCache>
            </c:strRef>
          </c:tx>
          <c:spPr>
            <a:solidFill>
              <a:schemeClr val="accent2">
                <a:lumMod val="20000"/>
                <a:lumOff val="80000"/>
              </a:schemeClr>
            </a:solidFill>
            <a:ln>
              <a:solidFill>
                <a:schemeClr val="accent2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'Gráficos Dir Gen'!$E$33:$G$33</c:f>
              <c:numCache>
                <c:formatCode>0%</c:formatCode>
                <c:ptCount val="3"/>
                <c:pt idx="0">
                  <c:v>0.41</c:v>
                </c:pt>
                <c:pt idx="1">
                  <c:v>0.42</c:v>
                </c:pt>
                <c:pt idx="2">
                  <c:v>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11C-464F-83FD-1DBA202C7E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9806959"/>
        <c:axId val="157856543"/>
      </c:barChart>
      <c:lineChart>
        <c:grouping val="standard"/>
        <c:varyColors val="0"/>
        <c:ser>
          <c:idx val="1"/>
          <c:order val="1"/>
          <c:tx>
            <c:strRef>
              <c:f>'Gráficos Dir Gen'!$A$34</c:f>
              <c:strCache>
                <c:ptCount val="1"/>
                <c:pt idx="0">
                  <c:v>Meta porcentaje de citas anuladas con respecto a las programadas.</c:v>
                </c:pt>
              </c:strCache>
            </c:strRef>
          </c:tx>
          <c:spPr>
            <a:ln w="28575" cap="rnd">
              <a:solidFill>
                <a:schemeClr val="accent2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11C-464F-83FD-1DBA202C7EF8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111C-464F-83FD-1DBA202C7EF8}"/>
                </c:ext>
              </c:extLst>
            </c:dLbl>
            <c:dLbl>
              <c:idx val="2"/>
              <c:layout>
                <c:manualLayout>
                  <c:x val="-0.15"/>
                  <c:y val="-4.166666666666666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11C-464F-83FD-1DBA202C7E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'Gráficos Dir Gen'!$E$34:$G$34</c:f>
              <c:numCache>
                <c:formatCode>0%</c:formatCode>
                <c:ptCount val="3"/>
                <c:pt idx="0">
                  <c:v>0.1</c:v>
                </c:pt>
                <c:pt idx="1">
                  <c:v>0.1</c:v>
                </c:pt>
                <c:pt idx="2">
                  <c:v>0.1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111C-464F-83FD-1DBA202C7E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9806959"/>
        <c:axId val="157856543"/>
      </c:lineChart>
      <c:catAx>
        <c:axId val="159806959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57856543"/>
        <c:crosses val="autoZero"/>
        <c:auto val="1"/>
        <c:lblAlgn val="ctr"/>
        <c:lblOffset val="100"/>
        <c:noMultiLvlLbl val="0"/>
      </c:catAx>
      <c:valAx>
        <c:axId val="157856543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5980695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Indicadores POA 2018</a:t>
            </a:r>
            <a:br>
              <a:rPr lang="es-MX"/>
            </a:br>
            <a:r>
              <a:rPr lang="es-MX"/>
              <a:t>Área: Atención al Usuario</a:t>
            </a:r>
            <a:br>
              <a:rPr lang="es-MX"/>
            </a:br>
            <a:r>
              <a:rPr lang="es-MX"/>
              <a:t>Porcentaje de citas verificadas con respecto al total programada.</a:t>
            </a:r>
            <a:br>
              <a:rPr lang="es-MX"/>
            </a:br>
            <a:r>
              <a:rPr lang="es-MX"/>
              <a:t>Enero-Marzo 2018</a:t>
            </a:r>
          </a:p>
        </c:rich>
      </c:tx>
      <c:layout>
        <c:manualLayout>
          <c:xMode val="edge"/>
          <c:yMode val="edge"/>
          <c:x val="0.12899387576552929"/>
          <c:y val="3.788217944328864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Dir Gen'!$A$31</c:f>
              <c:strCache>
                <c:ptCount val="1"/>
                <c:pt idx="0">
                  <c:v>Porcentaje de citas verificadas con respecto al total programada.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Dir Gen'!$E$28:$G$28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Gen'!$E$31:$G$31</c:f>
              <c:numCache>
                <c:formatCode>0%</c:formatCode>
                <c:ptCount val="3"/>
                <c:pt idx="0">
                  <c:v>0.01</c:v>
                </c:pt>
                <c:pt idx="1">
                  <c:v>0.01</c:v>
                </c:pt>
                <c:pt idx="2">
                  <c:v>0.01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A9-4A45-BA1C-92439581907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72895903"/>
        <c:axId val="191584383"/>
      </c:barChart>
      <c:lineChart>
        <c:grouping val="standard"/>
        <c:varyColors val="0"/>
        <c:ser>
          <c:idx val="1"/>
          <c:order val="1"/>
          <c:tx>
            <c:strRef>
              <c:f>'Gráficos Dir Gen'!$A$32</c:f>
              <c:strCache>
                <c:ptCount val="1"/>
                <c:pt idx="0">
                  <c:v>Meta porcentaje de citas verificadas con respecto al total programada.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7A9-4A45-BA1C-92439581907E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77A9-4A45-BA1C-92439581907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'Gráficos Dir Gen'!$E$32:$G$32</c:f>
              <c:numCache>
                <c:formatCode>0%</c:formatCode>
                <c:ptCount val="3"/>
                <c:pt idx="0">
                  <c:v>0.8</c:v>
                </c:pt>
                <c:pt idx="1">
                  <c:v>0.8</c:v>
                </c:pt>
                <c:pt idx="2">
                  <c:v>0.8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77A9-4A45-BA1C-92439581907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72895903"/>
        <c:axId val="191584383"/>
      </c:lineChart>
      <c:catAx>
        <c:axId val="1728959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91584383"/>
        <c:crosses val="autoZero"/>
        <c:auto val="1"/>
        <c:lblAlgn val="ctr"/>
        <c:lblOffset val="100"/>
        <c:noMultiLvlLbl val="0"/>
      </c:catAx>
      <c:valAx>
        <c:axId val="191584383"/>
        <c:scaling>
          <c:orientation val="minMax"/>
          <c:max val="0.85000000000000009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728959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Indicadores</a:t>
            </a:r>
            <a:r>
              <a:rPr lang="es-MX" baseline="0"/>
              <a:t> POA 2018</a:t>
            </a:r>
            <a:br>
              <a:rPr lang="es-MX" baseline="0"/>
            </a:br>
            <a:r>
              <a:rPr lang="es-MX" baseline="0"/>
              <a:t>Área: Servicio Social</a:t>
            </a:r>
            <a:endParaRPr lang="es-MX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Dir Gen'!$A$53</c:f>
              <c:strCache>
                <c:ptCount val="1"/>
                <c:pt idx="0">
                  <c:v>Porcentaje de verificaciones socioeconómicas con respecto al total de hospitalizaciones privadas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'Gráficos Dir Gen'!$E$52:$G$52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Gen'!$E$53:$G$53</c:f>
              <c:numCache>
                <c:formatCode>0%</c:formatCode>
                <c:ptCount val="3"/>
                <c:pt idx="0">
                  <c:v>0.23</c:v>
                </c:pt>
                <c:pt idx="1">
                  <c:v>0.3</c:v>
                </c:pt>
                <c:pt idx="2">
                  <c:v>0.21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617-4D43-A63B-49C4965AC735}"/>
            </c:ext>
          </c:extLst>
        </c:ser>
        <c:ser>
          <c:idx val="2"/>
          <c:order val="2"/>
          <c:tx>
            <c:strRef>
              <c:f>'Gráficos Dir Gen'!$A$55</c:f>
              <c:strCache>
                <c:ptCount val="1"/>
                <c:pt idx="0">
                  <c:v>Porcentaje de usuarios remitidos a afiliación de Senasa con respecto a las exoneraciones de usuarios privados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'Gráficos Dir Gen'!$E$52:$G$52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Gen'!$E$55:$F$55</c:f>
              <c:numCache>
                <c:formatCode>0%</c:formatCode>
                <c:ptCount val="2"/>
                <c:pt idx="0">
                  <c:v>0.97</c:v>
                </c:pt>
                <c:pt idx="1">
                  <c:v>2.23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617-4D43-A63B-49C4965AC7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5445199"/>
        <c:axId val="206344447"/>
      </c:barChart>
      <c:lineChart>
        <c:grouping val="standard"/>
        <c:varyColors val="0"/>
        <c:ser>
          <c:idx val="1"/>
          <c:order val="1"/>
          <c:tx>
            <c:strRef>
              <c:f>'Gráficos Dir Gen'!$A$54</c:f>
              <c:strCache>
                <c:ptCount val="1"/>
                <c:pt idx="0">
                  <c:v>Meta porcentaje de verificaciones socioeconómicas con respecto al total de hospitalizaciones privadas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'Gráficos Dir Gen'!$E$52:$G$52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Gen'!$E$54:$G$54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617-4D43-A63B-49C4965AC735}"/>
            </c:ext>
          </c:extLst>
        </c:ser>
        <c:ser>
          <c:idx val="3"/>
          <c:order val="3"/>
          <c:tx>
            <c:strRef>
              <c:f>'Gráficos Dir Gen'!$A$56</c:f>
              <c:strCache>
                <c:ptCount val="1"/>
                <c:pt idx="0">
                  <c:v>Meta porcentaje de usuarios remitidos a afiliación de Senasa con respecto a las exoneraciones de usuarios privados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'Gráficos Dir Gen'!$E$52:$G$52</c:f>
              <c:strCache>
                <c:ptCount val="3"/>
                <c:pt idx="0">
                  <c:v>Abril</c:v>
                </c:pt>
                <c:pt idx="1">
                  <c:v>Mayo</c:v>
                </c:pt>
                <c:pt idx="2">
                  <c:v>Junio</c:v>
                </c:pt>
              </c:strCache>
            </c:strRef>
          </c:cat>
          <c:val>
            <c:numRef>
              <c:f>'Gráficos Dir Gen'!$E$56:$G$56</c:f>
              <c:numCache>
                <c:formatCode>0%</c:formatCode>
                <c:ptCount val="3"/>
                <c:pt idx="0">
                  <c:v>0.9</c:v>
                </c:pt>
                <c:pt idx="1">
                  <c:v>0.9</c:v>
                </c:pt>
                <c:pt idx="2">
                  <c:v>0.9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617-4D43-A63B-49C4965AC7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5445199"/>
        <c:axId val="206344447"/>
      </c:lineChart>
      <c:catAx>
        <c:axId val="1954451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06344447"/>
        <c:crosses val="autoZero"/>
        <c:auto val="1"/>
        <c:lblAlgn val="ctr"/>
        <c:lblOffset val="100"/>
        <c:noMultiLvlLbl val="0"/>
      </c:catAx>
      <c:valAx>
        <c:axId val="206344447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954451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sz="1100"/>
              <a:t>Indicadores</a:t>
            </a:r>
            <a:r>
              <a:rPr lang="es-MX" sz="1100" baseline="0"/>
              <a:t> POA 2018</a:t>
            </a:r>
            <a:br>
              <a:rPr lang="es-MX" sz="1100" baseline="0"/>
            </a:br>
            <a:r>
              <a:rPr lang="es-MX" sz="1100" baseline="0"/>
              <a:t>Área: Tecnología de la Información</a:t>
            </a:r>
            <a:endParaRPr lang="es-MX" sz="1100"/>
          </a:p>
        </c:rich>
      </c:tx>
      <c:layout>
        <c:manualLayout>
          <c:xMode val="edge"/>
          <c:yMode val="edge"/>
          <c:x val="0.22667894815034914"/>
          <c:y val="4.320605463016017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'Gráficos Dir Gen'!$A$77</c:f>
              <c:strCache>
                <c:ptCount val="1"/>
                <c:pt idx="0">
                  <c:v>Porcentaje de equipos TIC no operativos fuera de servicio respecto al total disponible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'Gráficos Dir Gen'!$E$76:$F$76</c:f>
              <c:strCache>
                <c:ptCount val="2"/>
                <c:pt idx="0">
                  <c:v>Abril</c:v>
                </c:pt>
                <c:pt idx="1">
                  <c:v>Mayo</c:v>
                </c:pt>
              </c:strCache>
            </c:strRef>
          </c:cat>
          <c:val>
            <c:numRef>
              <c:f>'Gráficos Dir Gen'!$E$77:$F$77</c:f>
              <c:numCache>
                <c:formatCode>General</c:formatCode>
                <c:ptCount val="2"/>
                <c:pt idx="0" formatCode="0%">
                  <c:v>0.06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DB9-46E7-A7EB-541F880271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7808544"/>
        <c:axId val="190000208"/>
      </c:barChart>
      <c:lineChart>
        <c:grouping val="standard"/>
        <c:varyColors val="0"/>
        <c:ser>
          <c:idx val="1"/>
          <c:order val="1"/>
          <c:tx>
            <c:strRef>
              <c:f>'Gráficos Dir Gen'!$A$78</c:f>
              <c:strCache>
                <c:ptCount val="1"/>
                <c:pt idx="0">
                  <c:v>Meta equipos TIC no operativos fuera de servicio respecto al total disponible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'Gráficos Dir Gen'!$B$76:$D$76</c:f>
              <c:strCache>
                <c:ptCount val="3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</c:strCache>
            </c:strRef>
          </c:cat>
          <c:val>
            <c:numRef>
              <c:f>'Gráficos Dir Gen'!$B$78:$D$78</c:f>
              <c:numCache>
                <c:formatCode>0%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DB9-46E7-A7EB-541F880271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7808544"/>
        <c:axId val="190000208"/>
      </c:lineChart>
      <c:catAx>
        <c:axId val="187808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90000208"/>
        <c:crosses val="autoZero"/>
        <c:auto val="1"/>
        <c:lblAlgn val="ctr"/>
        <c:lblOffset val="100"/>
        <c:noMultiLvlLbl val="0"/>
      </c:catAx>
      <c:valAx>
        <c:axId val="190000208"/>
        <c:scaling>
          <c:orientation val="minMax"/>
          <c:min val="-1.0000000000000002E-2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878085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2941316297726936E-2"/>
          <c:y val="0.73193440817326483"/>
          <c:w val="0.89411736740454617"/>
          <c:h val="0.2217811999522173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s-MX" sz="1100"/>
              <a:t>Indicadores POA 2018</a:t>
            </a:r>
            <a:br>
              <a:rPr lang="es-MX" sz="1100"/>
            </a:br>
            <a:r>
              <a:rPr lang="es-MX" sz="1100"/>
              <a:t>Área: Tecnología de la Información</a:t>
            </a:r>
          </a:p>
        </c:rich>
      </c:tx>
      <c:layout>
        <c:manualLayout>
          <c:xMode val="edge"/>
          <c:yMode val="edge"/>
          <c:x val="0.22746522309711287"/>
          <c:y val="3.240740740740740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>
        <c:manualLayout>
          <c:layoutTarget val="inner"/>
          <c:xMode val="edge"/>
          <c:yMode val="edge"/>
          <c:x val="0.11736882587561751"/>
          <c:y val="0.22404972507769544"/>
          <c:w val="0.83563553800487933"/>
          <c:h val="0.158947069220937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'Gráficos Dir Gen'!$A$79</c:f>
              <c:strCache>
                <c:ptCount val="1"/>
                <c:pt idx="0">
                  <c:v>Porcentaje de equipos TIC en funcionamiento con respecto al total disponible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'Gráficos Dir Gen'!$E$76:$F$76</c:f>
              <c:strCache>
                <c:ptCount val="2"/>
                <c:pt idx="0">
                  <c:v>Abril</c:v>
                </c:pt>
                <c:pt idx="1">
                  <c:v>Mayo</c:v>
                </c:pt>
              </c:strCache>
            </c:strRef>
          </c:cat>
          <c:val>
            <c:numRef>
              <c:f>'Gráficos Dir Gen'!$E$79:$F$79</c:f>
              <c:numCache>
                <c:formatCode>General</c:formatCode>
                <c:ptCount val="2"/>
                <c:pt idx="0" formatCode="0%">
                  <c:v>0.94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F93-4A84-B4F7-645D1D3C41D2}"/>
            </c:ext>
          </c:extLst>
        </c:ser>
        <c:ser>
          <c:idx val="2"/>
          <c:order val="1"/>
          <c:tx>
            <c:strRef>
              <c:f>'Gráficos Dir Gen'!$A$81</c:f>
              <c:strCache>
                <c:ptCount val="1"/>
                <c:pt idx="0">
                  <c:v>Porcentaje de tikects cerrados con respecto a los abiertos en tiempo oportuno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'Gráficos Dir Gen'!$E$76:$F$76</c:f>
              <c:strCache>
                <c:ptCount val="2"/>
                <c:pt idx="0">
                  <c:v>Abril</c:v>
                </c:pt>
                <c:pt idx="1">
                  <c:v>Mayo</c:v>
                </c:pt>
              </c:strCache>
            </c:strRef>
          </c:cat>
          <c:val>
            <c:numRef>
              <c:f>'Gráficos Dir Gen'!$E$81:$F$81</c:f>
              <c:numCache>
                <c:formatCode>General</c:formatCode>
                <c:ptCount val="2"/>
                <c:pt idx="0" formatCode="0%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F93-4A84-B4F7-645D1D3C41D2}"/>
            </c:ext>
          </c:extLst>
        </c:ser>
        <c:ser>
          <c:idx val="1"/>
          <c:order val="2"/>
          <c:tx>
            <c:strRef>
              <c:f>'Gráficos Dir Gen'!$A$83</c:f>
              <c:strCache>
                <c:ptCount val="1"/>
                <c:pt idx="0">
                  <c:v>Porcentaje de cumplimiento del plan de mantenimiento de equipos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'Gráficos Dir Gen'!$E$76:$F$76</c:f>
              <c:strCache>
                <c:ptCount val="2"/>
                <c:pt idx="0">
                  <c:v>Abril</c:v>
                </c:pt>
                <c:pt idx="1">
                  <c:v>Mayo</c:v>
                </c:pt>
              </c:strCache>
            </c:strRef>
          </c:cat>
          <c:val>
            <c:numRef>
              <c:f>'Gráficos Dir Gen'!$E$83:$F$83</c:f>
              <c:numCache>
                <c:formatCode>General</c:formatCode>
                <c:ptCount val="2"/>
                <c:pt idx="0" formatCode="0%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F93-4A84-B4F7-645D1D3C41D2}"/>
            </c:ext>
          </c:extLst>
        </c:ser>
        <c:ser>
          <c:idx val="3"/>
          <c:order val="3"/>
          <c:tx>
            <c:strRef>
              <c:f>'Gráficos Dir Gen'!$A$85</c:f>
              <c:strCache>
                <c:ptCount val="1"/>
                <c:pt idx="0">
                  <c:v>Porcentaje de publicaciones cargadas a la web e intranet respecto a las requeridas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'Gráficos Dir Gen'!$E$76:$F$76</c:f>
              <c:strCache>
                <c:ptCount val="2"/>
                <c:pt idx="0">
                  <c:v>Abril</c:v>
                </c:pt>
                <c:pt idx="1">
                  <c:v>Mayo</c:v>
                </c:pt>
              </c:strCache>
            </c:strRef>
          </c:cat>
          <c:val>
            <c:numRef>
              <c:f>'Gráficos Dir Gen'!$E$85:$F$85</c:f>
              <c:numCache>
                <c:formatCode>General</c:formatCode>
                <c:ptCount val="2"/>
                <c:pt idx="0" formatCode="0%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F93-4A84-B4F7-645D1D3C41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7831008"/>
        <c:axId val="292945440"/>
      </c:barChart>
      <c:lineChart>
        <c:grouping val="standard"/>
        <c:varyColors val="0"/>
        <c:ser>
          <c:idx val="4"/>
          <c:order val="4"/>
          <c:tx>
            <c:strRef>
              <c:f>'Gráficos Dir Gen'!$A$80</c:f>
              <c:strCache>
                <c:ptCount val="1"/>
                <c:pt idx="0">
                  <c:v>Meta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val>
            <c:numRef>
              <c:f>'Gráficos Dir Gen'!$E$80:$F$80</c:f>
              <c:numCache>
                <c:formatCode>0%</c:formatCode>
                <c:ptCount val="2"/>
                <c:pt idx="0">
                  <c:v>1</c:v>
                </c:pt>
                <c:pt idx="1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0F93-4A84-B4F7-645D1D3C41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7831008"/>
        <c:axId val="292945440"/>
      </c:lineChart>
      <c:catAx>
        <c:axId val="1878310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92945440"/>
        <c:crosses val="autoZero"/>
        <c:auto val="1"/>
        <c:lblAlgn val="ctr"/>
        <c:lblOffset val="100"/>
        <c:noMultiLvlLbl val="0"/>
      </c:catAx>
      <c:valAx>
        <c:axId val="292945440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878310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4.7858103839739069E-2"/>
          <c:y val="0.46748236676009569"/>
          <c:w val="0.89085646771494953"/>
          <c:h val="0.5325176332399043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0.08604</cdr:x>
      <cdr:y>0</cdr:y>
    </cdr:from>
    <cdr:to>
      <cdr:x>0.94912</cdr:x>
      <cdr:y>0.25501</cdr:y>
    </cdr:to>
    <cdr:sp macro="" textlink="">
      <cdr:nvSpPr>
        <cdr:cNvPr id="2" name="CuadroTexto 1">
          <a:extLst xmlns:a="http://schemas.openxmlformats.org/drawingml/2006/main">
            <a:ext uri="{FF2B5EF4-FFF2-40B4-BE49-F238E27FC236}">
              <a16:creationId xmlns:a16="http://schemas.microsoft.com/office/drawing/2014/main" id="{CCE6F7E2-B6E3-4041-925C-AF5CDDFA6966}"/>
            </a:ext>
          </a:extLst>
        </cdr:cNvPr>
        <cdr:cNvSpPr txBox="1"/>
      </cdr:nvSpPr>
      <cdr:spPr>
        <a:xfrm xmlns:a="http://schemas.openxmlformats.org/drawingml/2006/main">
          <a:off x="418785" y="0"/>
          <a:ext cx="4200840" cy="8477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 anchor="ctr"/>
        <a:lstStyle xmlns:a="http://schemas.openxmlformats.org/drawingml/2006/main"/>
        <a:p xmlns:a="http://schemas.openxmlformats.org/drawingml/2006/main">
          <a:pPr algn="ctr"/>
          <a:r>
            <a:rPr lang="es-MX" sz="11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rPr>
            <a:t>Indicadores</a:t>
          </a:r>
          <a:r>
            <a:rPr lang="es-MX" sz="1000"/>
            <a:t> </a:t>
          </a:r>
          <a:r>
            <a:rPr lang="es-MX" sz="11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rPr>
            <a:t>POA 2018</a:t>
          </a:r>
          <a:br>
            <a:rPr lang="es-MX" sz="11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rPr>
          </a:br>
          <a:r>
            <a:rPr lang="es-MX" sz="11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rPr>
            <a:t>Área: Hostelería</a:t>
          </a:r>
          <a:br>
            <a:rPr lang="es-MX" sz="11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rPr>
          </a:br>
          <a:r>
            <a:rPr lang="es-MX" sz="11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rPr>
            <a:t>Porcentaje de lencería recibida con respecto a la entregada</a:t>
          </a:r>
        </a:p>
        <a:p xmlns:a="http://schemas.openxmlformats.org/drawingml/2006/main">
          <a:endParaRPr lang="es-MX" sz="1100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93DD7-66B6-42FE-9E18-09DBC100E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2347</TotalTime>
  <Pages>15</Pages>
  <Words>1761</Words>
  <Characters>9687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Lany Vasquez</dc:creator>
  <cp:keywords/>
  <dc:description/>
  <cp:lastModifiedBy>Josephine King</cp:lastModifiedBy>
  <cp:revision>45</cp:revision>
  <dcterms:created xsi:type="dcterms:W3CDTF">2018-05-28T14:36:00Z</dcterms:created>
  <dcterms:modified xsi:type="dcterms:W3CDTF">2018-10-10T12:36:00Z</dcterms:modified>
</cp:coreProperties>
</file>